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DBE0" w14:textId="0B9A5900" w:rsidR="007A7283" w:rsidRPr="00205BDF" w:rsidRDefault="007A7283" w:rsidP="007A7283">
      <w:pPr>
        <w:pStyle w:val="Heading1"/>
        <w:jc w:val="center"/>
        <w:rPr>
          <w:color w:val="FF0000"/>
        </w:rPr>
      </w:pPr>
      <w:r w:rsidRPr="00205BDF">
        <w:rPr>
          <w:noProof/>
          <w:color w:val="FF0000"/>
          <w:lang w:eastAsia="en-GB"/>
        </w:rPr>
        <w:drawing>
          <wp:inline distT="0" distB="0" distL="0" distR="0" wp14:anchorId="469BBE74" wp14:editId="5FE63BD5">
            <wp:extent cx="6010835" cy="1310297"/>
            <wp:effectExtent l="0" t="0" r="0" b="4445"/>
            <wp:docPr id="2" name="Picture 2" descr="GBC 2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C 2 colour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0919" cy="1310315"/>
                    </a:xfrm>
                    <a:prstGeom prst="rect">
                      <a:avLst/>
                    </a:prstGeom>
                    <a:noFill/>
                    <a:ln>
                      <a:noFill/>
                    </a:ln>
                  </pic:spPr>
                </pic:pic>
              </a:graphicData>
            </a:graphic>
          </wp:inline>
        </w:drawing>
      </w:r>
    </w:p>
    <w:p w14:paraId="16D9F040" w14:textId="77777777" w:rsidR="007A7283" w:rsidRPr="00205BDF" w:rsidRDefault="007A7283" w:rsidP="007A7283">
      <w:pPr>
        <w:pStyle w:val="Heading1"/>
        <w:spacing w:line="240" w:lineRule="auto"/>
        <w:jc w:val="center"/>
        <w:rPr>
          <w:color w:val="FF0000"/>
          <w:sz w:val="32"/>
        </w:rPr>
      </w:pPr>
    </w:p>
    <w:p w14:paraId="41E292DA" w14:textId="77777777" w:rsidR="007A7283" w:rsidRPr="00116F86" w:rsidRDefault="007A7283" w:rsidP="007A7283">
      <w:pPr>
        <w:pStyle w:val="Heading1"/>
        <w:spacing w:line="240" w:lineRule="auto"/>
        <w:jc w:val="center"/>
        <w:rPr>
          <w:sz w:val="32"/>
        </w:rPr>
      </w:pPr>
      <w:r w:rsidRPr="00116F86">
        <w:rPr>
          <w:sz w:val="32"/>
        </w:rPr>
        <w:t xml:space="preserve">Gedling Borough Council </w:t>
      </w:r>
      <w:r w:rsidRPr="00116F86">
        <w:rPr>
          <w:sz w:val="32"/>
        </w:rPr>
        <w:br/>
        <w:t>Community Infrastructure Levy (CIL)</w:t>
      </w:r>
    </w:p>
    <w:p w14:paraId="2C28999A" w14:textId="76F756E5" w:rsidR="007A7283" w:rsidRPr="00116F86" w:rsidRDefault="00BC620B" w:rsidP="007A7283">
      <w:pPr>
        <w:pStyle w:val="Heading1"/>
        <w:spacing w:line="240" w:lineRule="auto"/>
        <w:jc w:val="center"/>
        <w:rPr>
          <w:sz w:val="32"/>
        </w:rPr>
      </w:pPr>
      <w:r w:rsidRPr="00116F86">
        <w:rPr>
          <w:sz w:val="32"/>
        </w:rPr>
        <w:t>Infrastructure Funding Statement</w:t>
      </w:r>
      <w:r w:rsidR="009E6942" w:rsidRPr="00116F86">
        <w:rPr>
          <w:sz w:val="32"/>
        </w:rPr>
        <w:t xml:space="preserve"> </w:t>
      </w:r>
      <w:r w:rsidR="00C83CF8" w:rsidRPr="00116F86">
        <w:rPr>
          <w:sz w:val="32"/>
        </w:rPr>
        <w:t>20</w:t>
      </w:r>
      <w:r w:rsidR="003D75F7" w:rsidRPr="00116F86">
        <w:rPr>
          <w:sz w:val="32"/>
        </w:rPr>
        <w:t>2</w:t>
      </w:r>
      <w:r w:rsidR="00116F86" w:rsidRPr="00116F86">
        <w:rPr>
          <w:sz w:val="32"/>
        </w:rPr>
        <w:t>2</w:t>
      </w:r>
      <w:r w:rsidR="003D75F7" w:rsidRPr="00116F86">
        <w:rPr>
          <w:sz w:val="32"/>
        </w:rPr>
        <w:t>/2</w:t>
      </w:r>
      <w:r w:rsidR="00116F86" w:rsidRPr="00116F86">
        <w:rPr>
          <w:sz w:val="32"/>
        </w:rPr>
        <w:t>3</w:t>
      </w:r>
    </w:p>
    <w:p w14:paraId="2C996BB5" w14:textId="77777777" w:rsidR="007A7283" w:rsidRPr="00205BDF" w:rsidRDefault="007A7283" w:rsidP="007A7283">
      <w:pPr>
        <w:pStyle w:val="Heading1"/>
        <w:spacing w:line="240" w:lineRule="auto"/>
        <w:jc w:val="center"/>
        <w:rPr>
          <w:color w:val="FF0000"/>
        </w:rPr>
      </w:pPr>
    </w:p>
    <w:p w14:paraId="14C5D287" w14:textId="77777777" w:rsidR="007A7283" w:rsidRPr="00205BDF" w:rsidRDefault="007A7283" w:rsidP="007A7283">
      <w:pPr>
        <w:pStyle w:val="Heading1"/>
        <w:jc w:val="center"/>
        <w:rPr>
          <w:color w:val="FF0000"/>
        </w:rPr>
      </w:pPr>
    </w:p>
    <w:p w14:paraId="042A3B5F" w14:textId="77777777" w:rsidR="007A7283" w:rsidRPr="00205BDF" w:rsidRDefault="007A7283" w:rsidP="007A7283">
      <w:pPr>
        <w:pStyle w:val="Heading1"/>
        <w:jc w:val="center"/>
        <w:rPr>
          <w:color w:val="FF0000"/>
        </w:rPr>
      </w:pPr>
    </w:p>
    <w:p w14:paraId="63345312" w14:textId="77777777" w:rsidR="007A7283" w:rsidRPr="00205BDF" w:rsidRDefault="007A7283" w:rsidP="007A7283">
      <w:pPr>
        <w:pStyle w:val="Heading1"/>
        <w:jc w:val="center"/>
        <w:rPr>
          <w:color w:val="FF0000"/>
        </w:rPr>
      </w:pPr>
    </w:p>
    <w:p w14:paraId="6963D625" w14:textId="77777777" w:rsidR="007A7283" w:rsidRPr="00205BDF" w:rsidRDefault="007A7283" w:rsidP="007A7283">
      <w:pPr>
        <w:pStyle w:val="Heading1"/>
        <w:jc w:val="center"/>
        <w:rPr>
          <w:color w:val="FF0000"/>
        </w:rPr>
      </w:pPr>
    </w:p>
    <w:p w14:paraId="361B25E7" w14:textId="77777777" w:rsidR="007A7283" w:rsidRPr="00205BDF" w:rsidRDefault="007A7283" w:rsidP="007A7283">
      <w:pPr>
        <w:pStyle w:val="Heading1"/>
        <w:jc w:val="center"/>
        <w:rPr>
          <w:color w:val="FF0000"/>
        </w:rPr>
      </w:pPr>
    </w:p>
    <w:p w14:paraId="4A89EE4D" w14:textId="77777777" w:rsidR="007A7283" w:rsidRPr="00205BDF" w:rsidRDefault="007A7283" w:rsidP="007A7283">
      <w:pPr>
        <w:pStyle w:val="Heading1"/>
        <w:jc w:val="center"/>
        <w:rPr>
          <w:color w:val="FF0000"/>
        </w:rPr>
      </w:pPr>
    </w:p>
    <w:p w14:paraId="2887E294" w14:textId="77777777" w:rsidR="007A7283" w:rsidRPr="00205BDF" w:rsidRDefault="000E749D" w:rsidP="000E749D">
      <w:pPr>
        <w:pStyle w:val="Heading1"/>
        <w:tabs>
          <w:tab w:val="left" w:pos="8085"/>
        </w:tabs>
        <w:rPr>
          <w:color w:val="FF0000"/>
        </w:rPr>
      </w:pPr>
      <w:r w:rsidRPr="00205BDF">
        <w:rPr>
          <w:color w:val="FF0000"/>
        </w:rPr>
        <w:tab/>
      </w:r>
    </w:p>
    <w:p w14:paraId="000C231C" w14:textId="4F463557" w:rsidR="007A7283" w:rsidRPr="0057598D" w:rsidRDefault="00C83CF8" w:rsidP="000E749D">
      <w:pPr>
        <w:pStyle w:val="Heading1"/>
        <w:jc w:val="center"/>
      </w:pPr>
      <w:r w:rsidRPr="0057598D">
        <w:t xml:space="preserve">Published </w:t>
      </w:r>
      <w:r w:rsidR="00FB3993" w:rsidRPr="0057598D">
        <w:t>December</w:t>
      </w:r>
      <w:r w:rsidR="0099215C" w:rsidRPr="0057598D">
        <w:t xml:space="preserve"> 202</w:t>
      </w:r>
      <w:r w:rsidR="0057598D" w:rsidRPr="0057598D">
        <w:t>3</w:t>
      </w:r>
    </w:p>
    <w:p w14:paraId="6CAB8664" w14:textId="77777777" w:rsidR="000E749D" w:rsidRPr="00205BDF" w:rsidRDefault="000E749D">
      <w:pPr>
        <w:rPr>
          <w:b/>
          <w:color w:val="FF0000"/>
        </w:rPr>
      </w:pPr>
    </w:p>
    <w:p w14:paraId="0B4FA464" w14:textId="77777777" w:rsidR="00BC620B" w:rsidRPr="00205BDF" w:rsidRDefault="00BC620B">
      <w:pPr>
        <w:rPr>
          <w:b/>
          <w:color w:val="FF0000"/>
        </w:rPr>
      </w:pPr>
    </w:p>
    <w:p w14:paraId="09624D66" w14:textId="2004BFF5" w:rsidR="007A7283" w:rsidRPr="003A7E34" w:rsidRDefault="00E0072E" w:rsidP="00810EDF">
      <w:pPr>
        <w:spacing w:line="360" w:lineRule="auto"/>
        <w:jc w:val="both"/>
        <w:rPr>
          <w:b/>
        </w:rPr>
      </w:pPr>
      <w:r w:rsidRPr="003A7E34">
        <w:rPr>
          <w:b/>
          <w:bCs/>
        </w:rPr>
        <w:lastRenderedPageBreak/>
        <w:t>1</w:t>
      </w:r>
      <w:r w:rsidRPr="003A7E34">
        <w:rPr>
          <w:b/>
          <w:bCs/>
        </w:rPr>
        <w:tab/>
      </w:r>
      <w:r w:rsidR="009016BD" w:rsidRPr="003A7E34">
        <w:rPr>
          <w:b/>
        </w:rPr>
        <w:t>I</w:t>
      </w:r>
      <w:r w:rsidR="00DE66AD" w:rsidRPr="003A7E34">
        <w:rPr>
          <w:b/>
        </w:rPr>
        <w:t>NTRODUCTION</w:t>
      </w:r>
    </w:p>
    <w:p w14:paraId="1B3FF6F5" w14:textId="081FCFCE" w:rsidR="00BC620B" w:rsidRPr="00F649FE" w:rsidRDefault="00BC620B" w:rsidP="00810EDF">
      <w:pPr>
        <w:spacing w:line="360" w:lineRule="auto"/>
        <w:jc w:val="both"/>
      </w:pPr>
      <w:r w:rsidRPr="003A7E34">
        <w:t xml:space="preserve">Welcome to the Gedling Borough Council Infrastructure Funding Statement. This statement sets out </w:t>
      </w:r>
      <w:r w:rsidR="003D75F7" w:rsidRPr="003A7E34">
        <w:t xml:space="preserve">the </w:t>
      </w:r>
      <w:r w:rsidRPr="003A7E34">
        <w:t>income and expenditure relating to the Community Infrastructure Levy (CIL) and Section 106 (s106) Agreements</w:t>
      </w:r>
      <w:r w:rsidR="003D75F7" w:rsidRPr="003A7E34">
        <w:t xml:space="preserve"> during the financial year </w:t>
      </w:r>
      <w:r w:rsidR="003D75F7" w:rsidRPr="00F649FE">
        <w:t>2</w:t>
      </w:r>
      <w:r w:rsidR="003A7E34" w:rsidRPr="00F649FE">
        <w:t>2</w:t>
      </w:r>
      <w:r w:rsidR="003D75F7" w:rsidRPr="00F649FE">
        <w:t>/2</w:t>
      </w:r>
      <w:r w:rsidR="003A7E34" w:rsidRPr="00F649FE">
        <w:t>3</w:t>
      </w:r>
      <w:r w:rsidRPr="00F649FE">
        <w:t>.</w:t>
      </w:r>
    </w:p>
    <w:p w14:paraId="7FF1D19E" w14:textId="2BBB0B0B" w:rsidR="00BC620B" w:rsidRPr="00F649FE" w:rsidRDefault="00BC620B" w:rsidP="00810EDF">
      <w:pPr>
        <w:spacing w:line="360" w:lineRule="auto"/>
        <w:jc w:val="both"/>
      </w:pPr>
      <w:r w:rsidRPr="00F649FE">
        <w:t xml:space="preserve">Local Authorities are required to produce </w:t>
      </w:r>
      <w:r w:rsidR="00F649FE" w:rsidRPr="00F649FE">
        <w:t xml:space="preserve">an annual </w:t>
      </w:r>
      <w:r w:rsidRPr="00F649FE">
        <w:t xml:space="preserve">Infrastructure Funding Statement </w:t>
      </w:r>
      <w:r w:rsidR="00F649FE" w:rsidRPr="00F649FE">
        <w:t>as part of the Community Infrastructure Levy (Amendment) (England) (No. 2) Regulations 2019.</w:t>
      </w:r>
    </w:p>
    <w:p w14:paraId="7B039893" w14:textId="77777777" w:rsidR="00BC620B" w:rsidRPr="00F649FE" w:rsidRDefault="002E3524" w:rsidP="00810EDF">
      <w:pPr>
        <w:spacing w:line="360" w:lineRule="auto"/>
        <w:jc w:val="both"/>
      </w:pPr>
      <w:r w:rsidRPr="00F649FE">
        <w:t xml:space="preserve">Income collected from the CIL and / or s106 (collectively known as ‘planning obligations’ or ‘developer contributions’) is used to help fund the provision of infrastructure which is necessary to support and enable development and growth within the Borough. </w:t>
      </w:r>
    </w:p>
    <w:p w14:paraId="54013B1C" w14:textId="77777777" w:rsidR="002E3524" w:rsidRPr="00F649FE" w:rsidRDefault="002E3524" w:rsidP="00810EDF">
      <w:pPr>
        <w:spacing w:line="360" w:lineRule="auto"/>
        <w:jc w:val="both"/>
      </w:pPr>
      <w:r w:rsidRPr="00F649FE">
        <w:t xml:space="preserve">Sections 2 and 3 of this statement will provide details of the progress in relation to the collection and expenditure of income generated through the CIL and s106 respectively for the last financial year. </w:t>
      </w:r>
    </w:p>
    <w:p w14:paraId="4E4576D0" w14:textId="77777777" w:rsidR="00DE66AD" w:rsidRPr="00F649FE" w:rsidRDefault="002E3524" w:rsidP="00810EDF">
      <w:pPr>
        <w:spacing w:line="360" w:lineRule="auto"/>
        <w:jc w:val="both"/>
      </w:pPr>
      <w:r w:rsidRPr="00F649FE">
        <w:t>Section 4 sets out the planned future expenditure of income generated through these mechanisms over the next reporting period.</w:t>
      </w:r>
    </w:p>
    <w:p w14:paraId="59EBFB01" w14:textId="77777777" w:rsidR="00397C27" w:rsidRPr="00F649FE" w:rsidRDefault="00DE66AD" w:rsidP="00810EDF">
      <w:pPr>
        <w:spacing w:line="360" w:lineRule="auto"/>
        <w:jc w:val="both"/>
        <w:rPr>
          <w:b/>
        </w:rPr>
      </w:pPr>
      <w:r w:rsidRPr="00F649FE">
        <w:rPr>
          <w:b/>
        </w:rPr>
        <w:t>1.1</w:t>
      </w:r>
      <w:r w:rsidRPr="00F649FE">
        <w:rPr>
          <w:b/>
        </w:rPr>
        <w:tab/>
      </w:r>
      <w:r w:rsidR="00397C27" w:rsidRPr="00F649FE">
        <w:rPr>
          <w:b/>
        </w:rPr>
        <w:t>Community Infrastructure Levy &amp; Section 106 Agreements</w:t>
      </w:r>
    </w:p>
    <w:p w14:paraId="4D092F5A" w14:textId="77777777" w:rsidR="007F654B" w:rsidRPr="00F649FE" w:rsidRDefault="002E21DD" w:rsidP="00810EDF">
      <w:pPr>
        <w:spacing w:before="120" w:after="120" w:line="360" w:lineRule="auto"/>
        <w:jc w:val="both"/>
        <w:rPr>
          <w:lang w:val="en"/>
        </w:rPr>
      </w:pPr>
      <w:r w:rsidRPr="00F649FE">
        <w:rPr>
          <w:lang w:val="en"/>
        </w:rPr>
        <w:t xml:space="preserve">The Community Infrastructure Levy </w:t>
      </w:r>
      <w:r w:rsidR="00690321" w:rsidRPr="00F649FE">
        <w:rPr>
          <w:lang w:val="en"/>
        </w:rPr>
        <w:t xml:space="preserve">is a tariff-based charge on the development of new floorspace within the borough. </w:t>
      </w:r>
      <w:r w:rsidR="00E4503D" w:rsidRPr="00F649FE">
        <w:rPr>
          <w:lang w:val="en"/>
        </w:rPr>
        <w:t xml:space="preserve">Monies collected through the CIL </w:t>
      </w:r>
      <w:r w:rsidR="007F654B" w:rsidRPr="00F649FE">
        <w:rPr>
          <w:lang w:val="en"/>
        </w:rPr>
        <w:t>can be used to fund a wide range of infrastructure (</w:t>
      </w:r>
      <w:proofErr w:type="gramStart"/>
      <w:r w:rsidR="007F654B" w:rsidRPr="00F649FE">
        <w:rPr>
          <w:lang w:val="en"/>
        </w:rPr>
        <w:t>e.g.</w:t>
      </w:r>
      <w:proofErr w:type="gramEnd"/>
      <w:r w:rsidR="007F654B" w:rsidRPr="00F649FE">
        <w:rPr>
          <w:lang w:val="en"/>
        </w:rPr>
        <w:t xml:space="preserve"> roads, medical practices and the provision of open space) that is </w:t>
      </w:r>
      <w:r w:rsidR="009A3718" w:rsidRPr="00F649FE">
        <w:rPr>
          <w:lang w:val="en"/>
        </w:rPr>
        <w:t>required</w:t>
      </w:r>
      <w:r w:rsidR="007F654B" w:rsidRPr="00F649FE">
        <w:rPr>
          <w:lang w:val="en"/>
        </w:rPr>
        <w:t xml:space="preserve"> to meet the future growth needs of the borough. </w:t>
      </w:r>
    </w:p>
    <w:p w14:paraId="74F7CE8A" w14:textId="5BCB1C82" w:rsidR="00EF528A" w:rsidRPr="00F649FE" w:rsidRDefault="0002115C" w:rsidP="00810EDF">
      <w:pPr>
        <w:spacing w:before="120" w:after="120" w:line="360" w:lineRule="auto"/>
        <w:jc w:val="both"/>
      </w:pPr>
      <w:r w:rsidRPr="00F649FE">
        <w:t>The Gedling Borough Community Infrastructure Levy (CIL) Charging Schedule was approved by Full Council on 15</w:t>
      </w:r>
      <w:r w:rsidRPr="00F649FE">
        <w:rPr>
          <w:vertAlign w:val="superscript"/>
        </w:rPr>
        <w:t>th</w:t>
      </w:r>
      <w:r w:rsidRPr="00F649FE">
        <w:t xml:space="preserve"> July 2015 and came into effect on 16</w:t>
      </w:r>
      <w:r w:rsidRPr="00F649FE">
        <w:rPr>
          <w:vertAlign w:val="superscript"/>
        </w:rPr>
        <w:t>th</w:t>
      </w:r>
      <w:r w:rsidRPr="00F649FE">
        <w:t xml:space="preserve"> October 2015.  Planning applications decided on or after 16</w:t>
      </w:r>
      <w:r w:rsidRPr="00F649FE">
        <w:rPr>
          <w:vertAlign w:val="superscript"/>
        </w:rPr>
        <w:t>th</w:t>
      </w:r>
      <w:r w:rsidRPr="00F649FE">
        <w:t xml:space="preserve"> October 2015 may therefore be subject to CIL.</w:t>
      </w:r>
    </w:p>
    <w:p w14:paraId="1A119872" w14:textId="3A492532" w:rsidR="00FE4ACD" w:rsidRPr="00205BDF" w:rsidRDefault="00FE4ACD" w:rsidP="00810EDF">
      <w:pPr>
        <w:spacing w:before="120" w:after="120" w:line="360" w:lineRule="auto"/>
        <w:jc w:val="both"/>
        <w:rPr>
          <w:color w:val="FF0000"/>
        </w:rPr>
      </w:pPr>
    </w:p>
    <w:p w14:paraId="2324CCAD" w14:textId="77777777" w:rsidR="00FE4ACD" w:rsidRPr="00205BDF" w:rsidRDefault="00FE4ACD" w:rsidP="00810EDF">
      <w:pPr>
        <w:spacing w:before="120" w:after="120" w:line="360" w:lineRule="auto"/>
        <w:jc w:val="both"/>
        <w:rPr>
          <w:color w:val="FF0000"/>
        </w:rPr>
      </w:pPr>
    </w:p>
    <w:p w14:paraId="323CD47C" w14:textId="53D04FFE" w:rsidR="007F654B" w:rsidRPr="00F649FE" w:rsidRDefault="007F654B" w:rsidP="00810EDF">
      <w:pPr>
        <w:spacing w:before="120" w:after="120" w:line="360" w:lineRule="auto"/>
        <w:jc w:val="both"/>
        <w:rPr>
          <w:lang w:val="en"/>
        </w:rPr>
      </w:pPr>
      <w:r w:rsidRPr="00F649FE">
        <w:rPr>
          <w:lang w:val="en"/>
        </w:rPr>
        <w:lastRenderedPageBreak/>
        <w:t>Section 106 agreements are private agreements</w:t>
      </w:r>
      <w:r w:rsidR="00D217F6" w:rsidRPr="00F649FE">
        <w:rPr>
          <w:lang w:val="en"/>
        </w:rPr>
        <w:t>,</w:t>
      </w:r>
      <w:r w:rsidRPr="00F649FE">
        <w:rPr>
          <w:lang w:val="en"/>
        </w:rPr>
        <w:t xml:space="preserve"> made between local authorities and developers</w:t>
      </w:r>
      <w:r w:rsidR="00D217F6" w:rsidRPr="00F649FE">
        <w:rPr>
          <w:lang w:val="en"/>
        </w:rPr>
        <w:t>,</w:t>
      </w:r>
      <w:r w:rsidRPr="00F649FE">
        <w:rPr>
          <w:lang w:val="en"/>
        </w:rPr>
        <w:t xml:space="preserve"> </w:t>
      </w:r>
      <w:r w:rsidR="00D217F6" w:rsidRPr="00F649FE">
        <w:rPr>
          <w:lang w:val="en"/>
        </w:rPr>
        <w:t>which</w:t>
      </w:r>
      <w:r w:rsidRPr="00F649FE">
        <w:rPr>
          <w:lang w:val="en"/>
        </w:rPr>
        <w:t xml:space="preserve"> can be attached to a planning permission to ens</w:t>
      </w:r>
      <w:r w:rsidR="00D217F6" w:rsidRPr="00F649FE">
        <w:rPr>
          <w:lang w:val="en"/>
        </w:rPr>
        <w:t>ure that a certain development that</w:t>
      </w:r>
      <w:r w:rsidRPr="00F649FE">
        <w:rPr>
          <w:lang w:val="en"/>
        </w:rPr>
        <w:t xml:space="preserve"> may otherwise be unacceptable in planning terms, meets the local planning authorities policy requirements. Typical forms of Section 106 Obligations include:</w:t>
      </w:r>
    </w:p>
    <w:p w14:paraId="62B06818" w14:textId="77777777" w:rsidR="007F654B" w:rsidRPr="00F649FE" w:rsidRDefault="007F654B" w:rsidP="00810EDF">
      <w:pPr>
        <w:pStyle w:val="ListParagraph"/>
        <w:numPr>
          <w:ilvl w:val="0"/>
          <w:numId w:val="7"/>
        </w:numPr>
        <w:spacing w:before="120" w:after="120" w:line="360" w:lineRule="auto"/>
        <w:jc w:val="both"/>
        <w:rPr>
          <w:lang w:val="en"/>
        </w:rPr>
      </w:pPr>
      <w:r w:rsidRPr="00F649FE">
        <w:rPr>
          <w:lang w:val="en"/>
        </w:rPr>
        <w:t>Site-specific financial contribution;</w:t>
      </w:r>
    </w:p>
    <w:p w14:paraId="249652C3" w14:textId="77777777" w:rsidR="007F654B" w:rsidRPr="00F649FE" w:rsidRDefault="007F654B" w:rsidP="00810EDF">
      <w:pPr>
        <w:pStyle w:val="ListParagraph"/>
        <w:numPr>
          <w:ilvl w:val="0"/>
          <w:numId w:val="7"/>
        </w:numPr>
        <w:spacing w:before="120" w:after="120" w:line="360" w:lineRule="auto"/>
        <w:jc w:val="both"/>
        <w:rPr>
          <w:lang w:val="en"/>
        </w:rPr>
      </w:pPr>
      <w:r w:rsidRPr="00F649FE">
        <w:rPr>
          <w:lang w:val="en"/>
        </w:rPr>
        <w:t>Non-financial obligations; and</w:t>
      </w:r>
    </w:p>
    <w:p w14:paraId="178CB4D7" w14:textId="6BE36513" w:rsidR="00DE66AD" w:rsidRPr="00F649FE" w:rsidRDefault="007F654B" w:rsidP="00810EDF">
      <w:pPr>
        <w:pStyle w:val="ListParagraph"/>
        <w:numPr>
          <w:ilvl w:val="0"/>
          <w:numId w:val="7"/>
        </w:numPr>
        <w:spacing w:before="120" w:after="120" w:line="360" w:lineRule="auto"/>
        <w:jc w:val="both"/>
        <w:rPr>
          <w:lang w:val="en"/>
        </w:rPr>
      </w:pPr>
      <w:r w:rsidRPr="00F649FE">
        <w:rPr>
          <w:lang w:val="en"/>
        </w:rPr>
        <w:t>Provision of on-site affordable housing.</w:t>
      </w:r>
    </w:p>
    <w:p w14:paraId="0C0249E4" w14:textId="77777777" w:rsidR="002E3524" w:rsidRPr="00205BDF" w:rsidRDefault="00DE66AD" w:rsidP="00810EDF">
      <w:pPr>
        <w:spacing w:line="360" w:lineRule="auto"/>
        <w:jc w:val="both"/>
        <w:rPr>
          <w:b/>
          <w:color w:val="FF0000"/>
        </w:rPr>
      </w:pPr>
      <w:r w:rsidRPr="00F649FE">
        <w:rPr>
          <w:b/>
        </w:rPr>
        <w:t>1.2</w:t>
      </w:r>
      <w:r w:rsidRPr="00F649FE">
        <w:rPr>
          <w:b/>
        </w:rPr>
        <w:tab/>
        <w:t>Summary of Headlines within Statement</w:t>
      </w:r>
    </w:p>
    <w:tbl>
      <w:tblPr>
        <w:tblStyle w:val="TableGrid"/>
        <w:tblW w:w="0" w:type="auto"/>
        <w:tblLook w:val="04A0" w:firstRow="1" w:lastRow="0" w:firstColumn="1" w:lastColumn="0" w:noHBand="0" w:noVBand="1"/>
        <w:tblCaption w:val="Table 1. Key Headlines from the Statement."/>
        <w:tblDescription w:val="A breakdown of CIL and Section 106 Contributions during the finacial year 2021/22."/>
      </w:tblPr>
      <w:tblGrid>
        <w:gridCol w:w="9016"/>
      </w:tblGrid>
      <w:tr w:rsidR="00205BDF" w:rsidRPr="00205BDF" w14:paraId="2D9E6081" w14:textId="77777777" w:rsidTr="004D4B23">
        <w:trPr>
          <w:tblHeader/>
        </w:trPr>
        <w:tc>
          <w:tcPr>
            <w:tcW w:w="9016" w:type="dxa"/>
            <w:shd w:val="clear" w:color="auto" w:fill="000000" w:themeFill="text1"/>
          </w:tcPr>
          <w:p w14:paraId="3FAB6715" w14:textId="045FE017" w:rsidR="00981584" w:rsidRPr="00205BDF" w:rsidRDefault="00981584" w:rsidP="00981584">
            <w:pPr>
              <w:spacing w:line="360" w:lineRule="auto"/>
              <w:rPr>
                <w:b/>
                <w:color w:val="FF0000"/>
              </w:rPr>
            </w:pPr>
            <w:r w:rsidRPr="00F649FE">
              <w:rPr>
                <w:b/>
              </w:rPr>
              <w:t xml:space="preserve">Table 1. Key Headlines from the Statement. </w:t>
            </w:r>
          </w:p>
        </w:tc>
      </w:tr>
      <w:tr w:rsidR="00205BDF" w:rsidRPr="00205BDF" w14:paraId="04A99A2D" w14:textId="77777777" w:rsidTr="00981584">
        <w:tc>
          <w:tcPr>
            <w:tcW w:w="9016" w:type="dxa"/>
            <w:shd w:val="clear" w:color="auto" w:fill="D9D9D9" w:themeFill="background1" w:themeFillShade="D9"/>
          </w:tcPr>
          <w:p w14:paraId="4ED962A1" w14:textId="68791A15" w:rsidR="00DE66AD" w:rsidRPr="00205BDF" w:rsidRDefault="00981584" w:rsidP="00BC620B">
            <w:pPr>
              <w:spacing w:line="360" w:lineRule="auto"/>
              <w:rPr>
                <w:b/>
                <w:color w:val="FF0000"/>
              </w:rPr>
            </w:pPr>
            <w:r w:rsidRPr="00F649FE">
              <w:rPr>
                <w:b/>
              </w:rPr>
              <w:t>Summary</w:t>
            </w:r>
            <w:r w:rsidR="00DE66AD" w:rsidRPr="00F649FE">
              <w:rPr>
                <w:b/>
              </w:rPr>
              <w:t xml:space="preserve"> of CIL Receipts</w:t>
            </w:r>
          </w:p>
        </w:tc>
      </w:tr>
      <w:tr w:rsidR="00205BDF" w:rsidRPr="00205BDF" w14:paraId="199C4A4D" w14:textId="77777777" w:rsidTr="00DE66AD">
        <w:tc>
          <w:tcPr>
            <w:tcW w:w="9016" w:type="dxa"/>
          </w:tcPr>
          <w:p w14:paraId="479264D6" w14:textId="07D1BF75" w:rsidR="00DE66AD" w:rsidRPr="00EE0522" w:rsidRDefault="005B63B1" w:rsidP="00BC620B">
            <w:pPr>
              <w:spacing w:line="360" w:lineRule="auto"/>
            </w:pPr>
            <w:r w:rsidRPr="00EE0522">
              <w:t xml:space="preserve">A total of </w:t>
            </w:r>
            <w:r w:rsidR="00747A8F" w:rsidRPr="00EE0522">
              <w:t>£</w:t>
            </w:r>
            <w:r w:rsidR="00EE0522" w:rsidRPr="00EE0522">
              <w:t>1,657,474</w:t>
            </w:r>
            <w:r w:rsidRPr="00EE0522">
              <w:t xml:space="preserve"> in CIL receipts were collected d</w:t>
            </w:r>
            <w:r w:rsidR="00747A8F" w:rsidRPr="00EE0522">
              <w:t>uring the financial year 202</w:t>
            </w:r>
            <w:r w:rsidR="00EE0522" w:rsidRPr="00EE0522">
              <w:t>2</w:t>
            </w:r>
            <w:r w:rsidR="00747A8F" w:rsidRPr="00EE0522">
              <w:t>/2</w:t>
            </w:r>
            <w:r w:rsidR="00EE0522" w:rsidRPr="00EE0522">
              <w:t>3</w:t>
            </w:r>
            <w:r w:rsidRPr="00EE0522">
              <w:t>.</w:t>
            </w:r>
          </w:p>
          <w:p w14:paraId="2FB351CA" w14:textId="77777777" w:rsidR="009964CC" w:rsidRPr="00205BDF" w:rsidRDefault="009964CC" w:rsidP="00BC620B">
            <w:pPr>
              <w:spacing w:line="360" w:lineRule="auto"/>
              <w:rPr>
                <w:color w:val="FF0000"/>
              </w:rPr>
            </w:pPr>
          </w:p>
          <w:p w14:paraId="6FF53553" w14:textId="4C0FFCEE" w:rsidR="005B63B1" w:rsidRPr="00EE0522" w:rsidRDefault="00C62A42" w:rsidP="005B63B1">
            <w:pPr>
              <w:spacing w:line="360" w:lineRule="auto"/>
              <w:rPr>
                <w:bCs/>
              </w:rPr>
            </w:pPr>
            <w:r w:rsidRPr="00EE0522">
              <w:t xml:space="preserve">A total of </w:t>
            </w:r>
            <w:r w:rsidR="00051CBA" w:rsidRPr="00EE0522">
              <w:rPr>
                <w:bCs/>
              </w:rPr>
              <w:t>£</w:t>
            </w:r>
            <w:r w:rsidR="00EE0522" w:rsidRPr="00EE0522">
              <w:rPr>
                <w:bCs/>
              </w:rPr>
              <w:t>5,614,450</w:t>
            </w:r>
            <w:r w:rsidR="008B25DD" w:rsidRPr="00EE0522">
              <w:rPr>
                <w:bCs/>
              </w:rPr>
              <w:t xml:space="preserve"> </w:t>
            </w:r>
            <w:r w:rsidRPr="00EE0522">
              <w:rPr>
                <w:bCs/>
              </w:rPr>
              <w:t>receipts were</w:t>
            </w:r>
            <w:r w:rsidR="005F3329" w:rsidRPr="00EE0522">
              <w:rPr>
                <w:bCs/>
              </w:rPr>
              <w:t xml:space="preserve"> retained </w:t>
            </w:r>
            <w:r w:rsidRPr="00EE0522">
              <w:rPr>
                <w:bCs/>
              </w:rPr>
              <w:t>at the end of the financial year 20</w:t>
            </w:r>
            <w:r w:rsidR="00747A8F" w:rsidRPr="00EE0522">
              <w:rPr>
                <w:bCs/>
              </w:rPr>
              <w:t>2</w:t>
            </w:r>
            <w:r w:rsidR="00EE0522" w:rsidRPr="00EE0522">
              <w:rPr>
                <w:bCs/>
              </w:rPr>
              <w:t>2</w:t>
            </w:r>
            <w:r w:rsidR="00747A8F" w:rsidRPr="00EE0522">
              <w:rPr>
                <w:bCs/>
              </w:rPr>
              <w:t>/2</w:t>
            </w:r>
            <w:r w:rsidR="00EE0522" w:rsidRPr="00EE0522">
              <w:rPr>
                <w:bCs/>
              </w:rPr>
              <w:t>3</w:t>
            </w:r>
            <w:r w:rsidRPr="00EE0522">
              <w:rPr>
                <w:bCs/>
              </w:rPr>
              <w:t>. Of this</w:t>
            </w:r>
            <w:r w:rsidR="009964CC" w:rsidRPr="00EE0522">
              <w:rPr>
                <w:bCs/>
              </w:rPr>
              <w:t>,</w:t>
            </w:r>
            <w:r w:rsidRPr="00EE0522">
              <w:rPr>
                <w:bCs/>
              </w:rPr>
              <w:t xml:space="preserve"> </w:t>
            </w:r>
            <w:r w:rsidR="00051CBA" w:rsidRPr="00B52A61">
              <w:rPr>
                <w:bCs/>
              </w:rPr>
              <w:t>£</w:t>
            </w:r>
            <w:r w:rsidR="00EE0522" w:rsidRPr="00B52A61">
              <w:rPr>
                <w:bCs/>
              </w:rPr>
              <w:t>5,338,039</w:t>
            </w:r>
            <w:r w:rsidR="00747A8F" w:rsidRPr="00B52A61">
              <w:rPr>
                <w:bCs/>
              </w:rPr>
              <w:t xml:space="preserve"> </w:t>
            </w:r>
            <w:r w:rsidR="009964CC" w:rsidRPr="00B52A61">
              <w:rPr>
                <w:bCs/>
              </w:rPr>
              <w:t>is</w:t>
            </w:r>
            <w:r w:rsidR="009964CC" w:rsidRPr="00EE0522">
              <w:rPr>
                <w:bCs/>
              </w:rPr>
              <w:t xml:space="preserve"> to be used towards the provision of Strategic Infrastructure within the Borough, whilst </w:t>
            </w:r>
            <w:r w:rsidR="00051CBA" w:rsidRPr="00EE0522">
              <w:t>£</w:t>
            </w:r>
            <w:r w:rsidR="00EE0522" w:rsidRPr="009D1F10">
              <w:t xml:space="preserve">276,411 </w:t>
            </w:r>
            <w:r w:rsidR="002E6992" w:rsidRPr="00EE0522">
              <w:rPr>
                <w:bCs/>
              </w:rPr>
              <w:t>remains</w:t>
            </w:r>
            <w:r w:rsidR="009964CC" w:rsidRPr="00EE0522">
              <w:rPr>
                <w:bCs/>
              </w:rPr>
              <w:t xml:space="preserve"> for Infrastructure </w:t>
            </w:r>
            <w:r w:rsidR="002E6992" w:rsidRPr="00EE0522">
              <w:rPr>
                <w:bCs/>
              </w:rPr>
              <w:t xml:space="preserve">projects </w:t>
            </w:r>
            <w:r w:rsidR="009964CC" w:rsidRPr="00EE0522">
              <w:rPr>
                <w:bCs/>
              </w:rPr>
              <w:t>identified through the Neighbourhood portion of the CIL.</w:t>
            </w:r>
          </w:p>
          <w:p w14:paraId="638A1A07" w14:textId="507540B0" w:rsidR="005B63B1" w:rsidRPr="00205BDF" w:rsidRDefault="005B63B1" w:rsidP="009964CC">
            <w:pPr>
              <w:spacing w:line="360" w:lineRule="auto"/>
              <w:rPr>
                <w:bCs/>
                <w:color w:val="FF0000"/>
              </w:rPr>
            </w:pPr>
          </w:p>
          <w:p w14:paraId="3D3F71AF" w14:textId="424021BD" w:rsidR="009964CC" w:rsidRPr="00EE0522" w:rsidRDefault="009964CC" w:rsidP="009964CC">
            <w:pPr>
              <w:spacing w:line="360" w:lineRule="auto"/>
              <w:rPr>
                <w:bCs/>
              </w:rPr>
            </w:pPr>
            <w:r w:rsidRPr="00EE0522">
              <w:rPr>
                <w:bCs/>
              </w:rPr>
              <w:t xml:space="preserve">A total of </w:t>
            </w:r>
            <w:r w:rsidR="00051CBA" w:rsidRPr="00EE0522">
              <w:rPr>
                <w:bCs/>
              </w:rPr>
              <w:t>£</w:t>
            </w:r>
            <w:r w:rsidR="00EE0522" w:rsidRPr="00EE0522">
              <w:rPr>
                <w:bCs/>
              </w:rPr>
              <w:t xml:space="preserve">232,190 </w:t>
            </w:r>
            <w:r w:rsidRPr="00EE0522">
              <w:rPr>
                <w:bCs/>
              </w:rPr>
              <w:t>was passed to Local Parishes during 20</w:t>
            </w:r>
            <w:r w:rsidR="00747A8F" w:rsidRPr="00EE0522">
              <w:rPr>
                <w:bCs/>
              </w:rPr>
              <w:t>2</w:t>
            </w:r>
            <w:r w:rsidR="00EE0522" w:rsidRPr="00EE0522">
              <w:rPr>
                <w:bCs/>
              </w:rPr>
              <w:t>2</w:t>
            </w:r>
            <w:r w:rsidR="00747A8F" w:rsidRPr="00EE0522">
              <w:rPr>
                <w:bCs/>
              </w:rPr>
              <w:t>/2</w:t>
            </w:r>
            <w:r w:rsidR="00EE0522" w:rsidRPr="00EE0522">
              <w:rPr>
                <w:bCs/>
              </w:rPr>
              <w:t>3</w:t>
            </w:r>
            <w:r w:rsidR="00051CBA" w:rsidRPr="00EE0522">
              <w:rPr>
                <w:bCs/>
              </w:rPr>
              <w:t xml:space="preserve"> </w:t>
            </w:r>
            <w:r w:rsidRPr="00EE0522">
              <w:rPr>
                <w:bCs/>
              </w:rPr>
              <w:t>in accordance with Regulations 59</w:t>
            </w:r>
            <w:r w:rsidR="0079031B" w:rsidRPr="00EE0522">
              <w:rPr>
                <w:bCs/>
              </w:rPr>
              <w:t>A.</w:t>
            </w:r>
          </w:p>
          <w:p w14:paraId="56535E21" w14:textId="77777777" w:rsidR="009964CC" w:rsidRPr="00205BDF" w:rsidRDefault="009964CC" w:rsidP="009964CC">
            <w:pPr>
              <w:spacing w:line="360" w:lineRule="auto"/>
              <w:rPr>
                <w:bCs/>
                <w:color w:val="FF0000"/>
              </w:rPr>
            </w:pPr>
          </w:p>
          <w:p w14:paraId="3DB525C9" w14:textId="3F17A162" w:rsidR="009964CC" w:rsidRPr="00EE0522" w:rsidRDefault="009964CC" w:rsidP="009964CC">
            <w:pPr>
              <w:spacing w:line="360" w:lineRule="auto"/>
            </w:pPr>
            <w:r w:rsidRPr="00EE0522">
              <w:t xml:space="preserve">A total of </w:t>
            </w:r>
            <w:r w:rsidR="00051CBA" w:rsidRPr="00EE0522">
              <w:rPr>
                <w:bCs/>
              </w:rPr>
              <w:t>£</w:t>
            </w:r>
            <w:r w:rsidR="00EE0522" w:rsidRPr="00EE0522">
              <w:rPr>
                <w:bCs/>
              </w:rPr>
              <w:t xml:space="preserve">82,874 </w:t>
            </w:r>
            <w:r w:rsidRPr="00EE0522">
              <w:t>was allocated to cover the administrative costs of implementing and monitoring the CIL during 20</w:t>
            </w:r>
            <w:r w:rsidR="00747A8F" w:rsidRPr="00EE0522">
              <w:t>2</w:t>
            </w:r>
            <w:r w:rsidR="00EE0522" w:rsidRPr="00EE0522">
              <w:t>2</w:t>
            </w:r>
            <w:r w:rsidR="00747A8F" w:rsidRPr="00EE0522">
              <w:t>/2</w:t>
            </w:r>
            <w:r w:rsidR="00EE0522" w:rsidRPr="00EE0522">
              <w:t>3</w:t>
            </w:r>
            <w:r w:rsidRPr="00EE0522">
              <w:t>.</w:t>
            </w:r>
          </w:p>
          <w:p w14:paraId="798C6219" w14:textId="131525B4" w:rsidR="009964CC" w:rsidRPr="00205BDF" w:rsidRDefault="009964CC" w:rsidP="009964CC">
            <w:pPr>
              <w:spacing w:line="360" w:lineRule="auto"/>
              <w:rPr>
                <w:color w:val="FF0000"/>
              </w:rPr>
            </w:pPr>
          </w:p>
        </w:tc>
      </w:tr>
      <w:tr w:rsidR="00205BDF" w:rsidRPr="00205BDF" w14:paraId="42F8B1EE" w14:textId="77777777" w:rsidTr="00981584">
        <w:tc>
          <w:tcPr>
            <w:tcW w:w="9016" w:type="dxa"/>
            <w:shd w:val="clear" w:color="auto" w:fill="D9D9D9" w:themeFill="background1" w:themeFillShade="D9"/>
          </w:tcPr>
          <w:p w14:paraId="1BDB3122" w14:textId="7314A4DE" w:rsidR="00DE66AD" w:rsidRPr="00205BDF" w:rsidRDefault="00981584" w:rsidP="00DE66AD">
            <w:pPr>
              <w:spacing w:line="360" w:lineRule="auto"/>
              <w:rPr>
                <w:b/>
                <w:color w:val="FF0000"/>
              </w:rPr>
            </w:pPr>
            <w:r w:rsidRPr="00F649FE">
              <w:rPr>
                <w:b/>
              </w:rPr>
              <w:t>Summary of Section 106 Contributions</w:t>
            </w:r>
          </w:p>
        </w:tc>
      </w:tr>
      <w:tr w:rsidR="00DE66AD" w:rsidRPr="00205BDF" w14:paraId="6C29A0B2" w14:textId="77777777" w:rsidTr="00DE66AD">
        <w:tc>
          <w:tcPr>
            <w:tcW w:w="9016" w:type="dxa"/>
          </w:tcPr>
          <w:p w14:paraId="20490821" w14:textId="3A6735AA" w:rsidR="00242315" w:rsidRPr="00C540DE" w:rsidRDefault="00CC1A74" w:rsidP="005A1C0A">
            <w:pPr>
              <w:pStyle w:val="NoSpacing"/>
              <w:spacing w:line="360" w:lineRule="auto"/>
            </w:pPr>
            <w:r w:rsidRPr="00C540DE">
              <w:t xml:space="preserve">During the </w:t>
            </w:r>
            <w:r w:rsidR="00747A8F" w:rsidRPr="00C540DE">
              <w:t>202</w:t>
            </w:r>
            <w:r w:rsidR="00C540DE" w:rsidRPr="00C540DE">
              <w:t>2</w:t>
            </w:r>
            <w:r w:rsidR="00747A8F" w:rsidRPr="00C540DE">
              <w:t>/2</w:t>
            </w:r>
            <w:r w:rsidR="00C540DE" w:rsidRPr="00C540DE">
              <w:t>3</w:t>
            </w:r>
            <w:r w:rsidRPr="00C540DE">
              <w:t xml:space="preserve"> financial year </w:t>
            </w:r>
            <w:r w:rsidR="00581AB0" w:rsidRPr="003C0DF1">
              <w:rPr>
                <w:rFonts w:cs="Arial"/>
                <w:szCs w:val="24"/>
              </w:rPr>
              <w:t>£</w:t>
            </w:r>
            <w:r w:rsidR="00581AB0">
              <w:rPr>
                <w:rFonts w:cs="Arial"/>
                <w:szCs w:val="24"/>
              </w:rPr>
              <w:t xml:space="preserve">642,731 </w:t>
            </w:r>
            <w:r w:rsidRPr="00C540DE">
              <w:rPr>
                <w:bCs/>
              </w:rPr>
              <w:t>was collected in capital contributions t</w:t>
            </w:r>
            <w:r w:rsidR="00747A8F" w:rsidRPr="00C540DE">
              <w:rPr>
                <w:bCs/>
              </w:rPr>
              <w:t xml:space="preserve">hrough Section 106 Obligations. </w:t>
            </w:r>
            <w:r w:rsidR="00581AB0" w:rsidRPr="003C0DF1">
              <w:rPr>
                <w:rFonts w:cs="Arial"/>
                <w:szCs w:val="24"/>
              </w:rPr>
              <w:t>£1</w:t>
            </w:r>
            <w:r w:rsidR="00581AB0">
              <w:rPr>
                <w:rFonts w:cs="Arial"/>
                <w:szCs w:val="24"/>
              </w:rPr>
              <w:t xml:space="preserve">56,980 </w:t>
            </w:r>
            <w:r w:rsidR="00747A8F" w:rsidRPr="00C540DE">
              <w:rPr>
                <w:rFonts w:cs="Arial"/>
                <w:szCs w:val="24"/>
              </w:rPr>
              <w:t>was collection in revenue contributions during the same period.</w:t>
            </w:r>
          </w:p>
          <w:p w14:paraId="6BD64D06" w14:textId="77777777" w:rsidR="00CC1A74" w:rsidRPr="00205BDF" w:rsidRDefault="00CC1A74" w:rsidP="005A1C0A">
            <w:pPr>
              <w:pStyle w:val="NoSpacing"/>
              <w:spacing w:line="360" w:lineRule="auto"/>
              <w:rPr>
                <w:color w:val="FF0000"/>
              </w:rPr>
            </w:pPr>
          </w:p>
          <w:p w14:paraId="5D0F43E6" w14:textId="29E7543B" w:rsidR="00242315" w:rsidRPr="00C540DE" w:rsidRDefault="00242315" w:rsidP="005A1C0A">
            <w:pPr>
              <w:pStyle w:val="NoSpacing"/>
              <w:spacing w:line="360" w:lineRule="auto"/>
            </w:pPr>
            <w:r w:rsidRPr="00C540DE">
              <w:t xml:space="preserve">A total of </w:t>
            </w:r>
            <w:r w:rsidR="00D63C33" w:rsidRPr="00C540DE">
              <w:rPr>
                <w:rFonts w:cs="Arial"/>
                <w:szCs w:val="24"/>
              </w:rPr>
              <w:t>£</w:t>
            </w:r>
            <w:r w:rsidR="00C540DE" w:rsidRPr="00C540DE">
              <w:rPr>
                <w:rFonts w:cs="Arial"/>
                <w:szCs w:val="24"/>
              </w:rPr>
              <w:t>280,058</w:t>
            </w:r>
            <w:r w:rsidR="00D63C33" w:rsidRPr="00C540DE">
              <w:rPr>
                <w:rFonts w:cs="Arial"/>
                <w:szCs w:val="24"/>
              </w:rPr>
              <w:t xml:space="preserve"> </w:t>
            </w:r>
            <w:r w:rsidR="00CC1A74" w:rsidRPr="00C540DE">
              <w:rPr>
                <w:rFonts w:cs="Arial"/>
                <w:lang w:eastAsia="en-GB"/>
              </w:rPr>
              <w:t xml:space="preserve">capital </w:t>
            </w:r>
            <w:r w:rsidR="00747A8F" w:rsidRPr="00C540DE">
              <w:rPr>
                <w:rFonts w:cs="Arial"/>
                <w:lang w:eastAsia="en-GB"/>
              </w:rPr>
              <w:t xml:space="preserve">and </w:t>
            </w:r>
            <w:r w:rsidR="00D63C33" w:rsidRPr="00C540DE">
              <w:rPr>
                <w:rFonts w:cs="Arial"/>
                <w:szCs w:val="24"/>
              </w:rPr>
              <w:t>£29,729</w:t>
            </w:r>
            <w:r w:rsidR="00747A8F" w:rsidRPr="00C540DE">
              <w:rPr>
                <w:rFonts w:cs="Arial"/>
                <w:lang w:eastAsia="en-GB"/>
              </w:rPr>
              <w:t xml:space="preserve"> revenue </w:t>
            </w:r>
            <w:r w:rsidR="00CC1A74" w:rsidRPr="00C540DE">
              <w:rPr>
                <w:rFonts w:cs="Arial"/>
                <w:lang w:eastAsia="en-GB"/>
              </w:rPr>
              <w:t xml:space="preserve">contributions have been spent on infrastructure within Gedling Borough Council during the </w:t>
            </w:r>
            <w:r w:rsidR="001564FF" w:rsidRPr="00C540DE">
              <w:rPr>
                <w:rFonts w:cs="Arial"/>
                <w:lang w:eastAsia="en-GB"/>
              </w:rPr>
              <w:t>202</w:t>
            </w:r>
            <w:r w:rsidR="00C540DE" w:rsidRPr="00C540DE">
              <w:rPr>
                <w:rFonts w:cs="Arial"/>
                <w:lang w:eastAsia="en-GB"/>
              </w:rPr>
              <w:t>2</w:t>
            </w:r>
            <w:r w:rsidR="001564FF" w:rsidRPr="00C540DE">
              <w:rPr>
                <w:rFonts w:cs="Arial"/>
                <w:lang w:eastAsia="en-GB"/>
              </w:rPr>
              <w:t>/2</w:t>
            </w:r>
            <w:r w:rsidR="00C540DE" w:rsidRPr="00C540DE">
              <w:rPr>
                <w:rFonts w:cs="Arial"/>
                <w:lang w:eastAsia="en-GB"/>
              </w:rPr>
              <w:t>3</w:t>
            </w:r>
            <w:r w:rsidR="00D63C33" w:rsidRPr="00C540DE">
              <w:rPr>
                <w:rFonts w:cs="Arial"/>
                <w:lang w:eastAsia="en-GB"/>
              </w:rPr>
              <w:t xml:space="preserve"> </w:t>
            </w:r>
            <w:r w:rsidR="00CC1A74" w:rsidRPr="00C540DE">
              <w:rPr>
                <w:rFonts w:cs="Arial"/>
                <w:lang w:eastAsia="en-GB"/>
              </w:rPr>
              <w:t>financial year.</w:t>
            </w:r>
          </w:p>
          <w:p w14:paraId="21988643" w14:textId="77777777" w:rsidR="00242315" w:rsidRPr="00205BDF" w:rsidRDefault="00242315" w:rsidP="005A1C0A">
            <w:pPr>
              <w:pStyle w:val="NoSpacing"/>
              <w:spacing w:line="360" w:lineRule="auto"/>
              <w:rPr>
                <w:color w:val="FF0000"/>
              </w:rPr>
            </w:pPr>
          </w:p>
          <w:p w14:paraId="7BC0395F" w14:textId="7F455328" w:rsidR="00DE66AD" w:rsidRPr="00C540DE" w:rsidRDefault="00242315" w:rsidP="00242315">
            <w:pPr>
              <w:pStyle w:val="NoSpacing"/>
              <w:spacing w:line="360" w:lineRule="auto"/>
              <w:rPr>
                <w:lang w:eastAsia="en-GB"/>
              </w:rPr>
            </w:pPr>
            <w:r w:rsidRPr="00C540DE">
              <w:t xml:space="preserve">At the end of the financial year </w:t>
            </w:r>
            <w:r w:rsidR="001564FF" w:rsidRPr="00C540DE">
              <w:t>202</w:t>
            </w:r>
            <w:r w:rsidR="00C540DE" w:rsidRPr="00C540DE">
              <w:t>2</w:t>
            </w:r>
            <w:r w:rsidR="001564FF" w:rsidRPr="00C540DE">
              <w:t>/2</w:t>
            </w:r>
            <w:r w:rsidR="00C540DE" w:rsidRPr="00C540DE">
              <w:t>3</w:t>
            </w:r>
            <w:r w:rsidRPr="00C540DE">
              <w:t>,</w:t>
            </w:r>
            <w:r w:rsidR="005A1C0A" w:rsidRPr="00C540DE">
              <w:t xml:space="preserve"> </w:t>
            </w:r>
            <w:r w:rsidR="00581AB0" w:rsidRPr="00581AB0">
              <w:rPr>
                <w:bCs/>
                <w:lang w:eastAsia="en-GB"/>
              </w:rPr>
              <w:t>£3,538,877</w:t>
            </w:r>
            <w:r w:rsidR="00581AB0">
              <w:rPr>
                <w:bCs/>
                <w:lang w:eastAsia="en-GB"/>
              </w:rPr>
              <w:t xml:space="preserve"> </w:t>
            </w:r>
            <w:r w:rsidR="005A1C0A" w:rsidRPr="00C540DE">
              <w:rPr>
                <w:lang w:eastAsia="en-GB"/>
              </w:rPr>
              <w:t xml:space="preserve">worth of capital contributions </w:t>
            </w:r>
            <w:r w:rsidRPr="00C540DE">
              <w:rPr>
                <w:lang w:eastAsia="en-GB"/>
              </w:rPr>
              <w:t>were retained by Gedling Borough Council.</w:t>
            </w:r>
          </w:p>
          <w:p w14:paraId="768C209D" w14:textId="1C2773FA" w:rsidR="00D63C33" w:rsidRPr="00205BDF" w:rsidRDefault="00D63C33" w:rsidP="00242315">
            <w:pPr>
              <w:pStyle w:val="NoSpacing"/>
              <w:spacing w:line="360" w:lineRule="auto"/>
              <w:rPr>
                <w:color w:val="FF0000"/>
                <w:lang w:eastAsia="en-GB"/>
              </w:rPr>
            </w:pPr>
          </w:p>
          <w:p w14:paraId="59CEC35D" w14:textId="5874387F" w:rsidR="00CC1A74" w:rsidRPr="00205BDF" w:rsidRDefault="00C540DE" w:rsidP="00242315">
            <w:pPr>
              <w:pStyle w:val="NoSpacing"/>
              <w:spacing w:line="360" w:lineRule="auto"/>
              <w:rPr>
                <w:color w:val="FF0000"/>
                <w:lang w:eastAsia="en-GB"/>
              </w:rPr>
            </w:pPr>
            <w:r w:rsidRPr="00C540DE">
              <w:rPr>
                <w:lang w:eastAsia="en-GB"/>
              </w:rPr>
              <w:t>Non-financial contributions such as the p</w:t>
            </w:r>
            <w:r w:rsidR="00D63C33" w:rsidRPr="00C540DE">
              <w:rPr>
                <w:lang w:eastAsia="en-GB"/>
              </w:rPr>
              <w:t xml:space="preserve">rovision </w:t>
            </w:r>
            <w:r w:rsidRPr="00C540DE">
              <w:rPr>
                <w:lang w:eastAsia="en-GB"/>
              </w:rPr>
              <w:t>of</w:t>
            </w:r>
            <w:r w:rsidR="00D63C33" w:rsidRPr="00C540DE">
              <w:rPr>
                <w:lang w:eastAsia="en-GB"/>
              </w:rPr>
              <w:t xml:space="preserve"> Affordable Housing </w:t>
            </w:r>
            <w:r w:rsidRPr="00C540DE">
              <w:rPr>
                <w:lang w:eastAsia="en-GB"/>
              </w:rPr>
              <w:t>and Employment and Skills Plans / Local Labour Agreements continue to be</w:t>
            </w:r>
            <w:r w:rsidR="00D63C33" w:rsidRPr="00C540DE">
              <w:rPr>
                <w:lang w:eastAsia="en-GB"/>
              </w:rPr>
              <w:t xml:space="preserve"> secured by way of Section 106 Obligations</w:t>
            </w:r>
            <w:r w:rsidRPr="00C540DE">
              <w:rPr>
                <w:lang w:eastAsia="en-GB"/>
              </w:rPr>
              <w:t xml:space="preserve"> within the Borough.</w:t>
            </w:r>
          </w:p>
        </w:tc>
      </w:tr>
    </w:tbl>
    <w:p w14:paraId="0A7EC1E7" w14:textId="40997A19" w:rsidR="00E3760A" w:rsidRPr="00205BDF" w:rsidRDefault="00E3760A" w:rsidP="00BC620B">
      <w:pPr>
        <w:spacing w:line="360" w:lineRule="auto"/>
        <w:rPr>
          <w:b/>
          <w:color w:val="FF0000"/>
          <w:u w:val="single"/>
        </w:rPr>
      </w:pPr>
    </w:p>
    <w:p w14:paraId="033B4F66" w14:textId="214028A4" w:rsidR="00DE66AD" w:rsidRPr="00F649FE" w:rsidRDefault="00E0072E" w:rsidP="00810EDF">
      <w:pPr>
        <w:spacing w:line="360" w:lineRule="auto"/>
        <w:jc w:val="both"/>
        <w:rPr>
          <w:b/>
        </w:rPr>
      </w:pPr>
      <w:r w:rsidRPr="00F649FE">
        <w:rPr>
          <w:b/>
        </w:rPr>
        <w:t>2</w:t>
      </w:r>
      <w:r w:rsidR="00DE66AD" w:rsidRPr="00F649FE">
        <w:rPr>
          <w:b/>
        </w:rPr>
        <w:tab/>
        <w:t>COMMUNITY INFRASTRUCTURE LEVY</w:t>
      </w:r>
    </w:p>
    <w:p w14:paraId="1561AA5D" w14:textId="77777777" w:rsidR="00DE66AD" w:rsidRPr="00F649FE" w:rsidRDefault="00DE66AD" w:rsidP="00810EDF">
      <w:pPr>
        <w:spacing w:line="360" w:lineRule="auto"/>
        <w:jc w:val="both"/>
      </w:pPr>
      <w:r w:rsidRPr="00F649FE">
        <w:t>The amount of CIL payable depends on where the development is located within the borough, the type of use the development comprises of, and the net additional increase in floorspace (£ per Sqm).</w:t>
      </w:r>
    </w:p>
    <w:p w14:paraId="5ED16F01" w14:textId="77777777" w:rsidR="00E54CC5" w:rsidRPr="00B546C1" w:rsidRDefault="00E54CC5" w:rsidP="00810EDF">
      <w:pPr>
        <w:spacing w:line="360" w:lineRule="auto"/>
        <w:jc w:val="both"/>
        <w:rPr>
          <w:lang w:val="en"/>
        </w:rPr>
      </w:pPr>
      <w:r w:rsidRPr="00F649FE">
        <w:t>Gedling Borough Council</w:t>
      </w:r>
      <w:r w:rsidR="00821058" w:rsidRPr="00F649FE">
        <w:t>’s</w:t>
      </w:r>
      <w:r w:rsidRPr="00F649FE">
        <w:t xml:space="preserve"> </w:t>
      </w:r>
      <w:r w:rsidRPr="00F649FE">
        <w:rPr>
          <w:lang w:val="en"/>
        </w:rPr>
        <w:t>Charging Schedule</w:t>
      </w:r>
      <w:r w:rsidR="00821058" w:rsidRPr="00F649FE">
        <w:rPr>
          <w:lang w:val="en"/>
        </w:rPr>
        <w:t xml:space="preserve"> currently identifies two different types of Uses which are liable for the CIL</w:t>
      </w:r>
      <w:r w:rsidRPr="00F649FE">
        <w:rPr>
          <w:lang w:val="en"/>
        </w:rPr>
        <w:t>.</w:t>
      </w:r>
      <w:r w:rsidR="00821058" w:rsidRPr="00F649FE">
        <w:rPr>
          <w:lang w:val="en"/>
        </w:rPr>
        <w:t xml:space="preserve"> Retail development </w:t>
      </w:r>
      <w:r w:rsidR="00D761FF" w:rsidRPr="00F649FE">
        <w:rPr>
          <w:lang w:val="en"/>
        </w:rPr>
        <w:t>chargeable</w:t>
      </w:r>
      <w:r w:rsidR="00821058" w:rsidRPr="00F649FE">
        <w:rPr>
          <w:lang w:val="en"/>
        </w:rPr>
        <w:t xml:space="preserve"> </w:t>
      </w:r>
      <w:r w:rsidR="00D761FF" w:rsidRPr="00F649FE">
        <w:rPr>
          <w:lang w:val="en"/>
        </w:rPr>
        <w:t>by a flat rate across the borough whilst new residential development is split into three different zones</w:t>
      </w:r>
      <w:r w:rsidRPr="00F649FE">
        <w:rPr>
          <w:lang w:val="en"/>
        </w:rPr>
        <w:t>.</w:t>
      </w:r>
      <w:r w:rsidR="009B6C34" w:rsidRPr="00F649FE">
        <w:rPr>
          <w:lang w:val="en"/>
        </w:rPr>
        <w:t xml:space="preserve"> The Charging Schedule and Map of the different zones are available to view </w:t>
      </w:r>
      <w:r w:rsidR="009B6C34" w:rsidRPr="00B546C1">
        <w:rPr>
          <w:lang w:val="en"/>
        </w:rPr>
        <w:t xml:space="preserve">from our website at </w:t>
      </w:r>
      <w:hyperlink r:id="rId9" w:history="1">
        <w:r w:rsidR="009B6C34" w:rsidRPr="00B546C1">
          <w:rPr>
            <w:rStyle w:val="Hyperlink"/>
            <w:color w:val="auto"/>
            <w:lang w:val="en"/>
          </w:rPr>
          <w:t>https://www.gedling.gov.uk/cil/</w:t>
        </w:r>
      </w:hyperlink>
      <w:r w:rsidR="009B6C34" w:rsidRPr="00B546C1">
        <w:rPr>
          <w:lang w:val="en"/>
        </w:rPr>
        <w:t>.</w:t>
      </w:r>
    </w:p>
    <w:p w14:paraId="353B1E05" w14:textId="05143D68" w:rsidR="00EF528A" w:rsidRPr="00B546C1" w:rsidRDefault="00D761FF" w:rsidP="00810EDF">
      <w:pPr>
        <w:spacing w:line="360" w:lineRule="auto"/>
        <w:jc w:val="both"/>
        <w:rPr>
          <w:lang w:val="en"/>
        </w:rPr>
      </w:pPr>
      <w:r w:rsidRPr="00B546C1">
        <w:rPr>
          <w:lang w:val="en"/>
        </w:rPr>
        <w:t xml:space="preserve">Alongside the Charging Schedule Gedling Borough Council also adopted a </w:t>
      </w:r>
      <w:r w:rsidR="009B6C34" w:rsidRPr="00B546C1">
        <w:rPr>
          <w:lang w:val="en"/>
        </w:rPr>
        <w:t>Regulation</w:t>
      </w:r>
      <w:r w:rsidRPr="00B546C1">
        <w:rPr>
          <w:lang w:val="en"/>
        </w:rPr>
        <w:t xml:space="preserve"> 123 List in accordance with the regulations</w:t>
      </w:r>
      <w:r w:rsidR="00635413" w:rsidRPr="00B546C1">
        <w:rPr>
          <w:lang w:val="en"/>
        </w:rPr>
        <w:t xml:space="preserve"> in force</w:t>
      </w:r>
      <w:r w:rsidRPr="00B546C1">
        <w:rPr>
          <w:lang w:val="en"/>
        </w:rPr>
        <w:t xml:space="preserve"> at the time. </w:t>
      </w:r>
      <w:r w:rsidR="00635413" w:rsidRPr="00B546C1">
        <w:rPr>
          <w:lang w:val="en"/>
        </w:rPr>
        <w:t xml:space="preserve">Expenditure of the Strategic CIL receipt was approved for the following infrastructure projects: </w:t>
      </w:r>
    </w:p>
    <w:p w14:paraId="3F30C390" w14:textId="77777777" w:rsidR="009B6C34" w:rsidRPr="00B546C1" w:rsidRDefault="009B6C34" w:rsidP="00810EDF">
      <w:pPr>
        <w:pStyle w:val="ListParagraph"/>
        <w:numPr>
          <w:ilvl w:val="0"/>
          <w:numId w:val="7"/>
        </w:numPr>
        <w:spacing w:line="360" w:lineRule="auto"/>
        <w:jc w:val="both"/>
        <w:rPr>
          <w:lang w:val="en"/>
        </w:rPr>
      </w:pPr>
      <w:r w:rsidRPr="00B546C1">
        <w:rPr>
          <w:lang w:val="en"/>
        </w:rPr>
        <w:t>The Gedling Access Road (GAR</w:t>
      </w:r>
      <w:proofErr w:type="gramStart"/>
      <w:r w:rsidRPr="00B546C1">
        <w:rPr>
          <w:lang w:val="en"/>
        </w:rPr>
        <w:t>);</w:t>
      </w:r>
      <w:proofErr w:type="gramEnd"/>
    </w:p>
    <w:p w14:paraId="4CCB44B4" w14:textId="77777777" w:rsidR="009B6C34" w:rsidRPr="00B546C1" w:rsidRDefault="009B6C34" w:rsidP="00810EDF">
      <w:pPr>
        <w:pStyle w:val="ListParagraph"/>
        <w:numPr>
          <w:ilvl w:val="0"/>
          <w:numId w:val="7"/>
        </w:numPr>
        <w:spacing w:line="360" w:lineRule="auto"/>
        <w:jc w:val="both"/>
        <w:rPr>
          <w:lang w:val="en"/>
        </w:rPr>
      </w:pPr>
      <w:r w:rsidRPr="00B546C1">
        <w:rPr>
          <w:lang w:val="en"/>
        </w:rPr>
        <w:t>Secondary School Contributions for Gedling Colliery / Chase Farm and Top Wighay Farm strategic sites; and</w:t>
      </w:r>
    </w:p>
    <w:p w14:paraId="78EE2826" w14:textId="71074C7D" w:rsidR="002E3524" w:rsidRPr="00B546C1" w:rsidRDefault="009B6C34" w:rsidP="00810EDF">
      <w:pPr>
        <w:pStyle w:val="ListParagraph"/>
        <w:numPr>
          <w:ilvl w:val="0"/>
          <w:numId w:val="7"/>
        </w:numPr>
        <w:spacing w:line="360" w:lineRule="auto"/>
        <w:jc w:val="both"/>
        <w:rPr>
          <w:lang w:val="en"/>
        </w:rPr>
      </w:pPr>
      <w:r w:rsidRPr="00B546C1">
        <w:rPr>
          <w:lang w:val="en"/>
        </w:rPr>
        <w:t>The Gedling Country Park Visitors Centre.</w:t>
      </w:r>
    </w:p>
    <w:p w14:paraId="400E57FD" w14:textId="28F6785B" w:rsidR="009C2EDC" w:rsidRPr="00B546C1" w:rsidRDefault="009C2EDC" w:rsidP="009C2EDC">
      <w:pPr>
        <w:spacing w:line="360" w:lineRule="auto"/>
        <w:jc w:val="both"/>
        <w:rPr>
          <w:lang w:val="en"/>
        </w:rPr>
      </w:pPr>
      <w:r w:rsidRPr="00B546C1">
        <w:rPr>
          <w:lang w:val="en"/>
        </w:rPr>
        <w:t xml:space="preserve">The Regulation 123 List </w:t>
      </w:r>
      <w:r w:rsidR="00F649FE" w:rsidRPr="00B546C1">
        <w:rPr>
          <w:lang w:val="en"/>
        </w:rPr>
        <w:t>has since been</w:t>
      </w:r>
      <w:r w:rsidRPr="00B546C1">
        <w:rPr>
          <w:lang w:val="en"/>
        </w:rPr>
        <w:t xml:space="preserve"> abolished as part of the CIL Amendment Regulations 2019</w:t>
      </w:r>
      <w:r w:rsidR="0055184A">
        <w:rPr>
          <w:lang w:val="en"/>
        </w:rPr>
        <w:t xml:space="preserve"> </w:t>
      </w:r>
      <w:r w:rsidRPr="00B546C1">
        <w:rPr>
          <w:lang w:val="en"/>
        </w:rPr>
        <w:t xml:space="preserve">and replaced with the </w:t>
      </w:r>
      <w:r w:rsidR="00B546C1" w:rsidRPr="00B546C1">
        <w:rPr>
          <w:lang w:val="en"/>
        </w:rPr>
        <w:t xml:space="preserve">new </w:t>
      </w:r>
      <w:r w:rsidRPr="00B546C1">
        <w:rPr>
          <w:lang w:val="en"/>
        </w:rPr>
        <w:t>‘Infrastructure List’. No new projects have been added to the Infrastructure List.</w:t>
      </w:r>
    </w:p>
    <w:p w14:paraId="19544761" w14:textId="5924A0B5" w:rsidR="00AE65D6" w:rsidRPr="00B546C1" w:rsidRDefault="00ED3089" w:rsidP="00810EDF">
      <w:pPr>
        <w:spacing w:line="360" w:lineRule="auto"/>
        <w:jc w:val="both"/>
        <w:rPr>
          <w:lang w:val="en"/>
        </w:rPr>
      </w:pPr>
      <w:r w:rsidRPr="00B546C1">
        <w:rPr>
          <w:lang w:val="en"/>
        </w:rPr>
        <w:lastRenderedPageBreak/>
        <w:t xml:space="preserve">Unlike Section </w:t>
      </w:r>
      <w:r w:rsidR="007C529B" w:rsidRPr="00B546C1">
        <w:rPr>
          <w:lang w:val="en"/>
        </w:rPr>
        <w:t>106 Agreements, the CIL payable is a fixed rate which is mandatory and non-negotiable.</w:t>
      </w:r>
      <w:r w:rsidR="009A6FF0" w:rsidRPr="00B546C1">
        <w:rPr>
          <w:lang w:val="en"/>
        </w:rPr>
        <w:t xml:space="preserve"> The charge becomes payable upon the commencement of development. </w:t>
      </w:r>
    </w:p>
    <w:p w14:paraId="3C365154" w14:textId="77777777" w:rsidR="00432F93" w:rsidRPr="00B546C1" w:rsidRDefault="00432F93" w:rsidP="00810EDF">
      <w:pPr>
        <w:spacing w:line="360" w:lineRule="auto"/>
        <w:jc w:val="both"/>
        <w:rPr>
          <w:b/>
          <w:bCs/>
        </w:rPr>
      </w:pPr>
      <w:r w:rsidRPr="00B546C1">
        <w:rPr>
          <w:b/>
          <w:bCs/>
        </w:rPr>
        <w:t>2.1</w:t>
      </w:r>
      <w:r w:rsidRPr="00B546C1">
        <w:rPr>
          <w:b/>
          <w:bCs/>
        </w:rPr>
        <w:tab/>
        <w:t>CIL Income</w:t>
      </w:r>
    </w:p>
    <w:p w14:paraId="0481FD66" w14:textId="48E13467" w:rsidR="00406C04" w:rsidRPr="00B546C1" w:rsidRDefault="00E3760A" w:rsidP="00810EDF">
      <w:pPr>
        <w:spacing w:line="360" w:lineRule="auto"/>
        <w:jc w:val="both"/>
      </w:pPr>
      <w:r w:rsidRPr="00B546C1">
        <w:t>Table 2</w:t>
      </w:r>
      <w:r w:rsidR="000E751C" w:rsidRPr="00B546C1">
        <w:t xml:space="preserve"> below provides </w:t>
      </w:r>
      <w:r w:rsidR="0055184A">
        <w:t xml:space="preserve">a </w:t>
      </w:r>
      <w:r w:rsidR="006B5F25" w:rsidRPr="00B546C1">
        <w:t>cumulative total of all CIL</w:t>
      </w:r>
      <w:r w:rsidR="000E751C" w:rsidRPr="00B546C1">
        <w:t xml:space="preserve"> </w:t>
      </w:r>
      <w:r w:rsidR="00173D03" w:rsidRPr="00B546C1">
        <w:t xml:space="preserve">receipts </w:t>
      </w:r>
      <w:r w:rsidR="0055184A">
        <w:t>retained by</w:t>
      </w:r>
      <w:r w:rsidR="00432F93" w:rsidRPr="00B546C1">
        <w:t xml:space="preserve"> </w:t>
      </w:r>
      <w:r w:rsidR="000E751C" w:rsidRPr="00B546C1">
        <w:t>Gedling Borough Council</w:t>
      </w:r>
      <w:r w:rsidR="00173D03" w:rsidRPr="00B546C1">
        <w:t xml:space="preserve"> </w:t>
      </w:r>
      <w:r w:rsidR="0055184A">
        <w:t xml:space="preserve">since its </w:t>
      </w:r>
      <w:r w:rsidR="00173D03" w:rsidRPr="00B546C1">
        <w:t>first</w:t>
      </w:r>
      <w:r w:rsidR="000E751C" w:rsidRPr="00B546C1">
        <w:t xml:space="preserve"> adopted </w:t>
      </w:r>
      <w:r w:rsidR="0055184A">
        <w:t xml:space="preserve">of </w:t>
      </w:r>
      <w:r w:rsidR="000E751C" w:rsidRPr="00B546C1">
        <w:t>the CIL</w:t>
      </w:r>
      <w:r w:rsidR="00432F93" w:rsidRPr="00B546C1">
        <w:t xml:space="preserve"> in 2015.</w:t>
      </w:r>
      <w:r w:rsidR="007448CA" w:rsidRPr="00B546C1">
        <w:t xml:space="preserve"> A breakdown of these receipts is provided in greater detail further into the report.</w:t>
      </w:r>
    </w:p>
    <w:tbl>
      <w:tblPr>
        <w:tblStyle w:val="TableGrid"/>
        <w:tblW w:w="9067" w:type="dxa"/>
        <w:tblLook w:val="04A0" w:firstRow="1" w:lastRow="0" w:firstColumn="1" w:lastColumn="0" w:noHBand="0" w:noVBand="1"/>
        <w:tblCaption w:val="Table 2. Cumulative Total CIL Receipts Retained (to the nearest £)"/>
        <w:tblDescription w:val="An annual breakdown of cumulative CIL Receipts since the adoption of CIL.  "/>
      </w:tblPr>
      <w:tblGrid>
        <w:gridCol w:w="4389"/>
        <w:gridCol w:w="4678"/>
      </w:tblGrid>
      <w:tr w:rsidR="00205BDF" w:rsidRPr="00205BDF" w14:paraId="061D1ACB" w14:textId="77777777" w:rsidTr="004D4B23">
        <w:trPr>
          <w:tblHeader/>
        </w:trPr>
        <w:tc>
          <w:tcPr>
            <w:tcW w:w="9067" w:type="dxa"/>
            <w:gridSpan w:val="2"/>
            <w:shd w:val="clear" w:color="auto" w:fill="000000" w:themeFill="text1"/>
          </w:tcPr>
          <w:p w14:paraId="2797D041" w14:textId="77777777" w:rsidR="00E2727A" w:rsidRPr="00205BDF" w:rsidRDefault="00E2727A" w:rsidP="00760FDD">
            <w:pPr>
              <w:spacing w:line="360" w:lineRule="auto"/>
              <w:rPr>
                <w:b/>
                <w:bCs/>
                <w:color w:val="FF0000"/>
              </w:rPr>
            </w:pPr>
            <w:r w:rsidRPr="00B546C1">
              <w:rPr>
                <w:b/>
                <w:bCs/>
              </w:rPr>
              <w:t>Table 2. Cumulative Total CIL Receipts Retained (to the nearest £)</w:t>
            </w:r>
          </w:p>
        </w:tc>
      </w:tr>
      <w:tr w:rsidR="00205BDF" w:rsidRPr="00205BDF" w14:paraId="02CCAE9A" w14:textId="77777777" w:rsidTr="00760FDD">
        <w:tc>
          <w:tcPr>
            <w:tcW w:w="4389" w:type="dxa"/>
            <w:shd w:val="clear" w:color="auto" w:fill="D9D9D9" w:themeFill="background1" w:themeFillShade="D9"/>
          </w:tcPr>
          <w:p w14:paraId="259994AC" w14:textId="77777777" w:rsidR="00E2727A" w:rsidRPr="00B546C1" w:rsidRDefault="00E2727A" w:rsidP="00760FDD">
            <w:pPr>
              <w:spacing w:line="360" w:lineRule="auto"/>
              <w:rPr>
                <w:b/>
              </w:rPr>
            </w:pPr>
            <w:r w:rsidRPr="00B546C1">
              <w:rPr>
                <w:b/>
              </w:rPr>
              <w:t>Year</w:t>
            </w:r>
          </w:p>
        </w:tc>
        <w:tc>
          <w:tcPr>
            <w:tcW w:w="4678" w:type="dxa"/>
            <w:shd w:val="clear" w:color="auto" w:fill="D9D9D9" w:themeFill="background1" w:themeFillShade="D9"/>
          </w:tcPr>
          <w:p w14:paraId="0FE9436F" w14:textId="77777777" w:rsidR="00E2727A" w:rsidRPr="00B546C1" w:rsidRDefault="00E2727A" w:rsidP="00760FDD">
            <w:pPr>
              <w:spacing w:line="360" w:lineRule="auto"/>
              <w:rPr>
                <w:b/>
              </w:rPr>
            </w:pPr>
            <w:r w:rsidRPr="00B546C1">
              <w:rPr>
                <w:b/>
              </w:rPr>
              <w:t>Income</w:t>
            </w:r>
          </w:p>
        </w:tc>
      </w:tr>
      <w:tr w:rsidR="00205BDF" w:rsidRPr="00205BDF" w14:paraId="234B5F78" w14:textId="77777777" w:rsidTr="00760FDD">
        <w:tc>
          <w:tcPr>
            <w:tcW w:w="4389" w:type="dxa"/>
          </w:tcPr>
          <w:p w14:paraId="0153030B" w14:textId="77777777" w:rsidR="00E2727A" w:rsidRPr="0055184A" w:rsidRDefault="00E2727A" w:rsidP="00760FDD">
            <w:pPr>
              <w:spacing w:line="360" w:lineRule="auto"/>
            </w:pPr>
            <w:r w:rsidRPr="0055184A">
              <w:t>2015/16</w:t>
            </w:r>
          </w:p>
        </w:tc>
        <w:tc>
          <w:tcPr>
            <w:tcW w:w="4678" w:type="dxa"/>
          </w:tcPr>
          <w:p w14:paraId="68A88035" w14:textId="77777777" w:rsidR="00E2727A" w:rsidRPr="0055184A" w:rsidRDefault="00E2727A" w:rsidP="00760FDD">
            <w:pPr>
              <w:spacing w:line="360" w:lineRule="auto"/>
              <w:rPr>
                <w:bCs/>
              </w:rPr>
            </w:pPr>
            <w:r w:rsidRPr="0055184A">
              <w:rPr>
                <w:bCs/>
              </w:rPr>
              <w:t>£0</w:t>
            </w:r>
          </w:p>
        </w:tc>
      </w:tr>
      <w:tr w:rsidR="00205BDF" w:rsidRPr="00205BDF" w14:paraId="7A366814" w14:textId="77777777" w:rsidTr="00760FDD">
        <w:tc>
          <w:tcPr>
            <w:tcW w:w="4389" w:type="dxa"/>
            <w:shd w:val="clear" w:color="auto" w:fill="D9D9D9" w:themeFill="background1" w:themeFillShade="D9"/>
          </w:tcPr>
          <w:p w14:paraId="1D9A4CBF" w14:textId="77777777" w:rsidR="00E2727A" w:rsidRPr="0055184A" w:rsidRDefault="00E2727A" w:rsidP="00760FDD">
            <w:pPr>
              <w:spacing w:line="360" w:lineRule="auto"/>
            </w:pPr>
            <w:r w:rsidRPr="0055184A">
              <w:t>2016/17</w:t>
            </w:r>
          </w:p>
        </w:tc>
        <w:tc>
          <w:tcPr>
            <w:tcW w:w="4678" w:type="dxa"/>
            <w:shd w:val="clear" w:color="auto" w:fill="D9D9D9" w:themeFill="background1" w:themeFillShade="D9"/>
          </w:tcPr>
          <w:p w14:paraId="437F002C" w14:textId="77777777" w:rsidR="00E2727A" w:rsidRPr="0055184A" w:rsidRDefault="00E2727A" w:rsidP="00760FDD">
            <w:pPr>
              <w:spacing w:line="360" w:lineRule="auto"/>
              <w:rPr>
                <w:bCs/>
              </w:rPr>
            </w:pPr>
            <w:r w:rsidRPr="0055184A">
              <w:rPr>
                <w:bCs/>
              </w:rPr>
              <w:t>£36,171</w:t>
            </w:r>
          </w:p>
        </w:tc>
      </w:tr>
      <w:tr w:rsidR="00205BDF" w:rsidRPr="00205BDF" w14:paraId="4A52925C" w14:textId="77777777" w:rsidTr="00760FDD">
        <w:tc>
          <w:tcPr>
            <w:tcW w:w="4389" w:type="dxa"/>
          </w:tcPr>
          <w:p w14:paraId="1443CE24" w14:textId="77777777" w:rsidR="00E2727A" w:rsidRPr="0055184A" w:rsidRDefault="00E2727A" w:rsidP="00760FDD">
            <w:pPr>
              <w:spacing w:line="360" w:lineRule="auto"/>
            </w:pPr>
            <w:r w:rsidRPr="0055184A">
              <w:t>2017/18</w:t>
            </w:r>
          </w:p>
        </w:tc>
        <w:tc>
          <w:tcPr>
            <w:tcW w:w="4678" w:type="dxa"/>
          </w:tcPr>
          <w:p w14:paraId="0847ECC2" w14:textId="77777777" w:rsidR="00E2727A" w:rsidRPr="0055184A" w:rsidRDefault="00E2727A" w:rsidP="00760FDD">
            <w:pPr>
              <w:spacing w:line="360" w:lineRule="auto"/>
              <w:rPr>
                <w:bCs/>
              </w:rPr>
            </w:pPr>
            <w:r w:rsidRPr="0055184A">
              <w:rPr>
                <w:bCs/>
              </w:rPr>
              <w:t>£420,148</w:t>
            </w:r>
          </w:p>
        </w:tc>
      </w:tr>
      <w:tr w:rsidR="00205BDF" w:rsidRPr="00205BDF" w14:paraId="1DB501C6" w14:textId="77777777" w:rsidTr="00760FDD">
        <w:tc>
          <w:tcPr>
            <w:tcW w:w="4389" w:type="dxa"/>
            <w:shd w:val="clear" w:color="auto" w:fill="D9D9D9" w:themeFill="background1" w:themeFillShade="D9"/>
          </w:tcPr>
          <w:p w14:paraId="5CC5C2FD" w14:textId="77777777" w:rsidR="00E2727A" w:rsidRPr="0055184A" w:rsidRDefault="00E2727A" w:rsidP="00760FDD">
            <w:pPr>
              <w:spacing w:line="360" w:lineRule="auto"/>
            </w:pPr>
            <w:r w:rsidRPr="0055184A">
              <w:t>2018/19</w:t>
            </w:r>
          </w:p>
        </w:tc>
        <w:tc>
          <w:tcPr>
            <w:tcW w:w="4678" w:type="dxa"/>
            <w:shd w:val="clear" w:color="auto" w:fill="D9D9D9" w:themeFill="background1" w:themeFillShade="D9"/>
          </w:tcPr>
          <w:p w14:paraId="29D64F82" w14:textId="77777777" w:rsidR="00E2727A" w:rsidRPr="0055184A" w:rsidRDefault="00E2727A" w:rsidP="00760FDD">
            <w:pPr>
              <w:spacing w:line="360" w:lineRule="auto"/>
              <w:rPr>
                <w:bCs/>
              </w:rPr>
            </w:pPr>
            <w:r w:rsidRPr="0055184A">
              <w:rPr>
                <w:bCs/>
              </w:rPr>
              <w:t>£1,038,139</w:t>
            </w:r>
          </w:p>
        </w:tc>
      </w:tr>
      <w:tr w:rsidR="00205BDF" w:rsidRPr="00205BDF" w14:paraId="35FC5AE7" w14:textId="77777777" w:rsidTr="00760FDD">
        <w:tc>
          <w:tcPr>
            <w:tcW w:w="4389" w:type="dxa"/>
          </w:tcPr>
          <w:p w14:paraId="4411D0B6" w14:textId="77777777" w:rsidR="00E2727A" w:rsidRPr="0055184A" w:rsidRDefault="00E2727A" w:rsidP="00760FDD">
            <w:pPr>
              <w:spacing w:line="360" w:lineRule="auto"/>
            </w:pPr>
            <w:r w:rsidRPr="0055184A">
              <w:t>2019/20</w:t>
            </w:r>
          </w:p>
        </w:tc>
        <w:tc>
          <w:tcPr>
            <w:tcW w:w="4678" w:type="dxa"/>
          </w:tcPr>
          <w:p w14:paraId="7A80B067" w14:textId="77777777" w:rsidR="00E2727A" w:rsidRPr="0055184A" w:rsidRDefault="00E2727A" w:rsidP="00760FDD">
            <w:pPr>
              <w:spacing w:line="360" w:lineRule="auto"/>
              <w:rPr>
                <w:bCs/>
              </w:rPr>
            </w:pPr>
            <w:r w:rsidRPr="0055184A">
              <w:rPr>
                <w:bCs/>
              </w:rPr>
              <w:t>£1,276,677</w:t>
            </w:r>
          </w:p>
        </w:tc>
      </w:tr>
      <w:tr w:rsidR="00205BDF" w:rsidRPr="00205BDF" w14:paraId="27285436" w14:textId="77777777" w:rsidTr="00FE4ACD">
        <w:tc>
          <w:tcPr>
            <w:tcW w:w="4389" w:type="dxa"/>
            <w:shd w:val="clear" w:color="auto" w:fill="D9D9D9" w:themeFill="background1" w:themeFillShade="D9"/>
          </w:tcPr>
          <w:p w14:paraId="70A8E402" w14:textId="7BFA02CA" w:rsidR="00E2727A" w:rsidRPr="0055184A" w:rsidRDefault="00C852CC" w:rsidP="00760FDD">
            <w:pPr>
              <w:spacing w:line="360" w:lineRule="auto"/>
            </w:pPr>
            <w:r w:rsidRPr="0055184A">
              <w:t>2020/21</w:t>
            </w:r>
          </w:p>
        </w:tc>
        <w:tc>
          <w:tcPr>
            <w:tcW w:w="4678" w:type="dxa"/>
            <w:shd w:val="clear" w:color="auto" w:fill="D9D9D9" w:themeFill="background1" w:themeFillShade="D9"/>
          </w:tcPr>
          <w:p w14:paraId="1A401312" w14:textId="55CA226E" w:rsidR="00E2727A" w:rsidRPr="0055184A" w:rsidRDefault="007F3586" w:rsidP="00760FDD">
            <w:pPr>
              <w:spacing w:line="360" w:lineRule="auto"/>
              <w:rPr>
                <w:bCs/>
              </w:rPr>
            </w:pPr>
            <w:r w:rsidRPr="0055184A">
              <w:rPr>
                <w:bCs/>
              </w:rPr>
              <w:t>£1,671,</w:t>
            </w:r>
            <w:r w:rsidR="00C852CC" w:rsidRPr="0055184A">
              <w:rPr>
                <w:bCs/>
              </w:rPr>
              <w:t>993</w:t>
            </w:r>
          </w:p>
        </w:tc>
      </w:tr>
      <w:tr w:rsidR="00252301" w:rsidRPr="00205BDF" w14:paraId="31E9296A" w14:textId="77777777" w:rsidTr="00760FDD">
        <w:tc>
          <w:tcPr>
            <w:tcW w:w="4389" w:type="dxa"/>
          </w:tcPr>
          <w:p w14:paraId="75597BEF" w14:textId="46178B7E" w:rsidR="00252301" w:rsidRPr="0055184A" w:rsidRDefault="00252301" w:rsidP="00760FDD">
            <w:pPr>
              <w:spacing w:line="360" w:lineRule="auto"/>
            </w:pPr>
            <w:r w:rsidRPr="0055184A">
              <w:t>2021/22</w:t>
            </w:r>
          </w:p>
        </w:tc>
        <w:tc>
          <w:tcPr>
            <w:tcW w:w="4678" w:type="dxa"/>
          </w:tcPr>
          <w:p w14:paraId="04F47996" w14:textId="68BD9063" w:rsidR="00252301" w:rsidRPr="0055184A" w:rsidRDefault="00D16317" w:rsidP="00D16317">
            <w:pPr>
              <w:spacing w:line="360" w:lineRule="auto"/>
              <w:rPr>
                <w:bCs/>
              </w:rPr>
            </w:pPr>
            <w:r w:rsidRPr="0055184A">
              <w:rPr>
                <w:bCs/>
              </w:rPr>
              <w:t>£4,272,039</w:t>
            </w:r>
          </w:p>
        </w:tc>
      </w:tr>
      <w:tr w:rsidR="0055184A" w:rsidRPr="00205BDF" w14:paraId="5DE0B67B" w14:textId="77777777" w:rsidTr="00022671">
        <w:tc>
          <w:tcPr>
            <w:tcW w:w="4389" w:type="dxa"/>
            <w:shd w:val="clear" w:color="auto" w:fill="D9D9D9" w:themeFill="background1" w:themeFillShade="D9"/>
          </w:tcPr>
          <w:p w14:paraId="5B9ECE33" w14:textId="5BEB1737" w:rsidR="0055184A" w:rsidRPr="0055184A" w:rsidRDefault="0055184A" w:rsidP="00760FDD">
            <w:pPr>
              <w:spacing w:line="360" w:lineRule="auto"/>
            </w:pPr>
            <w:r>
              <w:t>2022/23</w:t>
            </w:r>
          </w:p>
        </w:tc>
        <w:tc>
          <w:tcPr>
            <w:tcW w:w="4678" w:type="dxa"/>
            <w:shd w:val="clear" w:color="auto" w:fill="D9D9D9" w:themeFill="background1" w:themeFillShade="D9"/>
          </w:tcPr>
          <w:p w14:paraId="765960BA" w14:textId="401E532E" w:rsidR="0055184A" w:rsidRPr="0055184A" w:rsidRDefault="0055184A" w:rsidP="00D16317">
            <w:pPr>
              <w:spacing w:line="360" w:lineRule="auto"/>
              <w:rPr>
                <w:bCs/>
              </w:rPr>
            </w:pPr>
            <w:r>
              <w:rPr>
                <w:bCs/>
              </w:rPr>
              <w:t>£</w:t>
            </w:r>
            <w:r w:rsidR="00C11EC0">
              <w:rPr>
                <w:bCs/>
              </w:rPr>
              <w:t>5,614,450</w:t>
            </w:r>
          </w:p>
        </w:tc>
      </w:tr>
    </w:tbl>
    <w:p w14:paraId="5660771A" w14:textId="77777777" w:rsidR="0055184A" w:rsidRDefault="0055184A" w:rsidP="00810EDF">
      <w:pPr>
        <w:spacing w:line="360" w:lineRule="auto"/>
        <w:jc w:val="both"/>
        <w:rPr>
          <w:bCs/>
        </w:rPr>
      </w:pPr>
    </w:p>
    <w:p w14:paraId="20104C66" w14:textId="26219F4D" w:rsidR="00E2727A" w:rsidRPr="00205BDF" w:rsidRDefault="00E2727A" w:rsidP="00810EDF">
      <w:pPr>
        <w:spacing w:line="360" w:lineRule="auto"/>
        <w:jc w:val="both"/>
        <w:rPr>
          <w:bCs/>
          <w:color w:val="FF0000"/>
        </w:rPr>
      </w:pPr>
      <w:r w:rsidRPr="00B546C1">
        <w:rPr>
          <w:bCs/>
        </w:rPr>
        <w:t>Gedling Borough Council adopted the CIL on 16</w:t>
      </w:r>
      <w:r w:rsidRPr="00B546C1">
        <w:rPr>
          <w:bCs/>
          <w:vertAlign w:val="superscript"/>
        </w:rPr>
        <w:t>th</w:t>
      </w:r>
      <w:r w:rsidRPr="00B546C1">
        <w:rPr>
          <w:bCs/>
        </w:rPr>
        <w:t xml:space="preserve"> October 2015. In accordance with the </w:t>
      </w:r>
      <w:r w:rsidRPr="00B546C1">
        <w:t>Community Infrastructure Levy (Amendment) (England) (No. 2) Regulations 2019</w:t>
      </w:r>
      <w:r w:rsidRPr="00B546C1">
        <w:rPr>
          <w:bCs/>
        </w:rPr>
        <w:t>, any planning application which was determined prior to this date is not chargeable. It is for this reason, along with a gap between the granting of permission and implemented, that no receipts were collected during the 2015/16 financial year.</w:t>
      </w:r>
      <w:r w:rsidR="0055184A">
        <w:rPr>
          <w:bCs/>
        </w:rPr>
        <w:t xml:space="preserve"> </w:t>
      </w:r>
    </w:p>
    <w:p w14:paraId="682A85E5" w14:textId="58F5454A" w:rsidR="00F220D7" w:rsidRPr="00B546C1" w:rsidRDefault="00F220D7" w:rsidP="00810EDF">
      <w:pPr>
        <w:spacing w:line="360" w:lineRule="auto"/>
        <w:jc w:val="both"/>
        <w:rPr>
          <w:b/>
          <w:bCs/>
        </w:rPr>
      </w:pPr>
      <w:r w:rsidRPr="00B546C1">
        <w:rPr>
          <w:b/>
          <w:bCs/>
        </w:rPr>
        <w:t>2.2</w:t>
      </w:r>
      <w:r w:rsidRPr="00B546C1">
        <w:rPr>
          <w:b/>
          <w:bCs/>
        </w:rPr>
        <w:tab/>
      </w:r>
      <w:r w:rsidR="00473E2D" w:rsidRPr="00B546C1">
        <w:rPr>
          <w:b/>
          <w:bCs/>
        </w:rPr>
        <w:t>Breakdown of CIL</w:t>
      </w:r>
      <w:r w:rsidRPr="00B546C1">
        <w:rPr>
          <w:b/>
          <w:bCs/>
        </w:rPr>
        <w:t xml:space="preserve"> for 20</w:t>
      </w:r>
      <w:r w:rsidR="00173D03" w:rsidRPr="00B546C1">
        <w:rPr>
          <w:b/>
          <w:bCs/>
        </w:rPr>
        <w:t>2</w:t>
      </w:r>
      <w:r w:rsidR="00B546C1">
        <w:rPr>
          <w:b/>
          <w:bCs/>
        </w:rPr>
        <w:t>2</w:t>
      </w:r>
      <w:r w:rsidR="00173D03" w:rsidRPr="00B546C1">
        <w:rPr>
          <w:b/>
          <w:bCs/>
        </w:rPr>
        <w:t>/2</w:t>
      </w:r>
      <w:r w:rsidR="00B546C1">
        <w:rPr>
          <w:b/>
          <w:bCs/>
        </w:rPr>
        <w:t>3</w:t>
      </w:r>
    </w:p>
    <w:p w14:paraId="367F8DCE" w14:textId="500B3578" w:rsidR="00720232" w:rsidRPr="00046B12" w:rsidRDefault="00720232" w:rsidP="00810EDF">
      <w:pPr>
        <w:spacing w:line="360" w:lineRule="auto"/>
        <w:jc w:val="both"/>
      </w:pPr>
      <w:r w:rsidRPr="00956837">
        <w:t xml:space="preserve">During the reported year </w:t>
      </w:r>
      <w:r w:rsidR="007448CA" w:rsidRPr="00956837">
        <w:t>202</w:t>
      </w:r>
      <w:r w:rsidR="00956837" w:rsidRPr="00956837">
        <w:t>2</w:t>
      </w:r>
      <w:r w:rsidR="007448CA" w:rsidRPr="00956837">
        <w:t>/2</w:t>
      </w:r>
      <w:r w:rsidR="00956837" w:rsidRPr="00956837">
        <w:t>3</w:t>
      </w:r>
      <w:r w:rsidRPr="00956837">
        <w:t xml:space="preserve">, </w:t>
      </w:r>
      <w:r w:rsidR="007448CA" w:rsidRPr="00956837">
        <w:t>1</w:t>
      </w:r>
      <w:r w:rsidR="004E6182">
        <w:t>5</w:t>
      </w:r>
      <w:r w:rsidRPr="00956837">
        <w:t xml:space="preserve"> Demand Notices were issued totalling £</w:t>
      </w:r>
      <w:r w:rsidR="00956837" w:rsidRPr="00956837">
        <w:t>2,324,654</w:t>
      </w:r>
      <w:r w:rsidRPr="00956837">
        <w:t xml:space="preserve"> in CIL Receipts</w:t>
      </w:r>
      <w:r w:rsidRPr="00046B12">
        <w:t>. To date</w:t>
      </w:r>
      <w:r w:rsidR="00046B12" w:rsidRPr="00046B12">
        <w:t xml:space="preserve"> a total of £1,859,099 </w:t>
      </w:r>
      <w:r w:rsidRPr="00046B12">
        <w:t>of thes</w:t>
      </w:r>
      <w:r w:rsidR="00EC4820" w:rsidRPr="00046B12">
        <w:t>e receipts have been collected. The remaining sums will be collect</w:t>
      </w:r>
      <w:r w:rsidR="00046B12" w:rsidRPr="00046B12">
        <w:t>ed</w:t>
      </w:r>
      <w:r w:rsidR="00EC4820" w:rsidRPr="00046B12">
        <w:t xml:space="preserve"> in accordance with the relevant payment plans as approved in the Councils Charging Schedule. </w:t>
      </w:r>
      <w:r w:rsidRPr="00046B12">
        <w:t xml:space="preserve">The collection of the remaining sums from these Demand Notices will be reported in </w:t>
      </w:r>
      <w:r w:rsidR="009C45E1" w:rsidRPr="00046B12">
        <w:t>future</w:t>
      </w:r>
      <w:r w:rsidRPr="00046B12">
        <w:t xml:space="preserve"> Infrastructure Funding Statement</w:t>
      </w:r>
      <w:r w:rsidR="009C45E1" w:rsidRPr="00046B12">
        <w:t xml:space="preserve">s in accordance with relevant payment policies. </w:t>
      </w:r>
    </w:p>
    <w:p w14:paraId="25CB3401" w14:textId="3DBD6769" w:rsidR="001564FF" w:rsidRPr="00205BDF" w:rsidRDefault="007448CA" w:rsidP="00810EDF">
      <w:pPr>
        <w:spacing w:line="360" w:lineRule="auto"/>
        <w:jc w:val="both"/>
        <w:rPr>
          <w:color w:val="FF0000"/>
        </w:rPr>
      </w:pPr>
      <w:r w:rsidRPr="00046B12">
        <w:lastRenderedPageBreak/>
        <w:t>During the reported year 202</w:t>
      </w:r>
      <w:r w:rsidR="00046B12" w:rsidRPr="00046B12">
        <w:t>2</w:t>
      </w:r>
      <w:r w:rsidRPr="00046B12">
        <w:t>/2</w:t>
      </w:r>
      <w:r w:rsidR="00046B12" w:rsidRPr="00046B12">
        <w:t>3</w:t>
      </w:r>
      <w:r w:rsidR="00720232" w:rsidRPr="00046B12">
        <w:t xml:space="preserve"> there</w:t>
      </w:r>
      <w:r w:rsidR="00F220D7" w:rsidRPr="00046B12">
        <w:t xml:space="preserve"> has been </w:t>
      </w:r>
      <w:r w:rsidRPr="00046B12">
        <w:t xml:space="preserve">a total of </w:t>
      </w:r>
      <w:r w:rsidR="00473E2D" w:rsidRPr="00046B12">
        <w:t>£</w:t>
      </w:r>
      <w:r w:rsidR="00046B12" w:rsidRPr="00046B12">
        <w:t>1,657,474</w:t>
      </w:r>
      <w:r w:rsidR="008B25DD" w:rsidRPr="00046B12">
        <w:t xml:space="preserve"> </w:t>
      </w:r>
      <w:r w:rsidR="00F220D7" w:rsidRPr="00046B12">
        <w:t>collected</w:t>
      </w:r>
      <w:r w:rsidR="00473E2D" w:rsidRPr="00046B12">
        <w:t xml:space="preserve"> in CIL receipts </w:t>
      </w:r>
      <w:r w:rsidR="00F220D7" w:rsidRPr="00046B12">
        <w:t>from</w:t>
      </w:r>
      <w:r w:rsidR="008B60DD" w:rsidRPr="00046B12">
        <w:t xml:space="preserve"> across</w:t>
      </w:r>
      <w:r w:rsidR="00F220D7" w:rsidRPr="00046B12">
        <w:t xml:space="preserve"> </w:t>
      </w:r>
      <w:r w:rsidR="00046B12" w:rsidRPr="00046B12">
        <w:t>17</w:t>
      </w:r>
      <w:r w:rsidR="00473E2D" w:rsidRPr="00046B12">
        <w:t xml:space="preserve"> different </w:t>
      </w:r>
      <w:r w:rsidR="00F220D7" w:rsidRPr="00046B12">
        <w:t xml:space="preserve">developments. </w:t>
      </w:r>
      <w:r w:rsidR="00945EE9" w:rsidRPr="00046B12">
        <w:t xml:space="preserve"> A </w:t>
      </w:r>
      <w:r w:rsidR="00720232" w:rsidRPr="00046B12">
        <w:t>summary</w:t>
      </w:r>
      <w:r w:rsidR="00945EE9" w:rsidRPr="00046B12">
        <w:t xml:space="preserve"> of the </w:t>
      </w:r>
      <w:r w:rsidR="00046B12" w:rsidRPr="00046B12">
        <w:t xml:space="preserve">allocation of </w:t>
      </w:r>
      <w:r w:rsidR="00945EE9" w:rsidRPr="00046B12">
        <w:t xml:space="preserve">receipts collected during the year is detailed in Table </w:t>
      </w:r>
      <w:r w:rsidR="00E3760A" w:rsidRPr="00046B12">
        <w:t>3</w:t>
      </w:r>
      <w:r w:rsidR="00945EE9" w:rsidRPr="00046B12">
        <w:t xml:space="preserve"> below.</w:t>
      </w:r>
    </w:p>
    <w:tbl>
      <w:tblPr>
        <w:tblStyle w:val="TableGrid"/>
        <w:tblW w:w="9067" w:type="dxa"/>
        <w:tblLook w:val="04A0" w:firstRow="1" w:lastRow="0" w:firstColumn="1" w:lastColumn="0" w:noHBand="0" w:noVBand="1"/>
        <w:tblCaption w:val="Table 3. Annual Breakdown of CIL Receipts 1st April 2021 - 31st March 2022 (to the nearest £)"/>
        <w:tblDescription w:val="A detailed breakdown of CIL Receipts during the financial year 2021/22."/>
      </w:tblPr>
      <w:tblGrid>
        <w:gridCol w:w="5807"/>
        <w:gridCol w:w="3260"/>
      </w:tblGrid>
      <w:tr w:rsidR="00205BDF" w:rsidRPr="00205BDF" w14:paraId="70FE4616" w14:textId="77777777" w:rsidTr="004D4B23">
        <w:trPr>
          <w:tblHeader/>
        </w:trPr>
        <w:tc>
          <w:tcPr>
            <w:tcW w:w="9067" w:type="dxa"/>
            <w:gridSpan w:val="2"/>
            <w:shd w:val="clear" w:color="auto" w:fill="000000" w:themeFill="text1"/>
          </w:tcPr>
          <w:p w14:paraId="2DD8CB5C" w14:textId="24477158" w:rsidR="00945EE9" w:rsidRPr="00205BDF" w:rsidRDefault="00945EE9" w:rsidP="00A213A0">
            <w:pPr>
              <w:spacing w:line="360" w:lineRule="auto"/>
              <w:rPr>
                <w:b/>
                <w:bCs/>
                <w:color w:val="FF0000"/>
              </w:rPr>
            </w:pPr>
            <w:r w:rsidRPr="00173C6D">
              <w:rPr>
                <w:b/>
                <w:bCs/>
              </w:rPr>
              <w:t xml:space="preserve">Table </w:t>
            </w:r>
            <w:r w:rsidR="00E3760A" w:rsidRPr="00173C6D">
              <w:rPr>
                <w:b/>
                <w:bCs/>
              </w:rPr>
              <w:t>3</w:t>
            </w:r>
            <w:r w:rsidRPr="00173C6D">
              <w:rPr>
                <w:b/>
                <w:bCs/>
              </w:rPr>
              <w:t>. Annual Breakdown of CIL Receipts 1st April 20</w:t>
            </w:r>
            <w:r w:rsidR="009C45E1" w:rsidRPr="00173C6D">
              <w:rPr>
                <w:b/>
                <w:bCs/>
              </w:rPr>
              <w:t>2</w:t>
            </w:r>
            <w:r w:rsidR="00173C6D">
              <w:rPr>
                <w:b/>
                <w:bCs/>
              </w:rPr>
              <w:t>2</w:t>
            </w:r>
            <w:r w:rsidRPr="00173C6D">
              <w:rPr>
                <w:b/>
                <w:bCs/>
              </w:rPr>
              <w:t xml:space="preserve"> - 31st March 202</w:t>
            </w:r>
            <w:r w:rsidR="00173C6D">
              <w:rPr>
                <w:b/>
                <w:bCs/>
              </w:rPr>
              <w:t>3</w:t>
            </w:r>
            <w:r w:rsidR="009C7889" w:rsidRPr="00173C6D">
              <w:rPr>
                <w:b/>
                <w:bCs/>
              </w:rPr>
              <w:t xml:space="preserve"> (to the nearest £)</w:t>
            </w:r>
          </w:p>
        </w:tc>
      </w:tr>
      <w:tr w:rsidR="00205BDF" w:rsidRPr="00205BDF" w14:paraId="1112726A" w14:textId="77777777" w:rsidTr="00FE4ACD">
        <w:tc>
          <w:tcPr>
            <w:tcW w:w="5807" w:type="dxa"/>
            <w:shd w:val="clear" w:color="auto" w:fill="D9D9D9" w:themeFill="background1" w:themeFillShade="D9"/>
          </w:tcPr>
          <w:p w14:paraId="65D3A6A3" w14:textId="05739B86" w:rsidR="00945EE9" w:rsidRPr="00F9545A" w:rsidRDefault="00945EE9" w:rsidP="00945EE9">
            <w:pPr>
              <w:spacing w:line="360" w:lineRule="auto"/>
              <w:jc w:val="both"/>
            </w:pPr>
            <w:r w:rsidRPr="00F9545A">
              <w:t>Total Receipts Collected</w:t>
            </w:r>
          </w:p>
        </w:tc>
        <w:tc>
          <w:tcPr>
            <w:tcW w:w="3260" w:type="dxa"/>
            <w:shd w:val="clear" w:color="auto" w:fill="D9D9D9" w:themeFill="background1" w:themeFillShade="D9"/>
          </w:tcPr>
          <w:p w14:paraId="03ACA3BE" w14:textId="4DAE1C29" w:rsidR="00945EE9" w:rsidRPr="00F9545A" w:rsidRDefault="00945EE9" w:rsidP="009C7889">
            <w:pPr>
              <w:spacing w:line="360" w:lineRule="auto"/>
              <w:jc w:val="right"/>
            </w:pPr>
            <w:r w:rsidRPr="00F9545A">
              <w:t>£</w:t>
            </w:r>
            <w:r w:rsidR="00046B12" w:rsidRPr="00F9545A">
              <w:t>1,657,474</w:t>
            </w:r>
          </w:p>
        </w:tc>
      </w:tr>
      <w:tr w:rsidR="00205BDF" w:rsidRPr="00205BDF" w14:paraId="5760356E" w14:textId="77777777" w:rsidTr="003F388F">
        <w:tc>
          <w:tcPr>
            <w:tcW w:w="5807" w:type="dxa"/>
            <w:shd w:val="clear" w:color="auto" w:fill="D9D9D9" w:themeFill="background1" w:themeFillShade="D9"/>
          </w:tcPr>
          <w:p w14:paraId="6A7B82BB" w14:textId="5F2D22C7" w:rsidR="003F388F" w:rsidRPr="00F9545A" w:rsidRDefault="003F388F" w:rsidP="00945EE9">
            <w:pPr>
              <w:spacing w:line="360" w:lineRule="auto"/>
              <w:jc w:val="both"/>
            </w:pPr>
            <w:r w:rsidRPr="00F9545A">
              <w:t xml:space="preserve">Neighbourhood Portion of CIL Receipts </w:t>
            </w:r>
          </w:p>
        </w:tc>
        <w:tc>
          <w:tcPr>
            <w:tcW w:w="3260" w:type="dxa"/>
            <w:shd w:val="clear" w:color="auto" w:fill="D9D9D9" w:themeFill="background1" w:themeFillShade="D9"/>
          </w:tcPr>
          <w:p w14:paraId="1F533D37" w14:textId="63A17346" w:rsidR="003F388F" w:rsidRPr="00F9545A" w:rsidRDefault="003F388F" w:rsidP="009C7889">
            <w:pPr>
              <w:spacing w:line="360" w:lineRule="auto"/>
              <w:jc w:val="right"/>
              <w:rPr>
                <w:bCs/>
              </w:rPr>
            </w:pPr>
            <w:r w:rsidRPr="00F9545A">
              <w:rPr>
                <w:bCs/>
              </w:rPr>
              <w:t>£</w:t>
            </w:r>
            <w:r w:rsidR="00F9545A" w:rsidRPr="00F9545A">
              <w:rPr>
                <w:bCs/>
              </w:rPr>
              <w:t>33</w:t>
            </w:r>
            <w:r w:rsidR="00041A42">
              <w:rPr>
                <w:bCs/>
              </w:rPr>
              <w:t>4</w:t>
            </w:r>
            <w:r w:rsidR="00F9545A" w:rsidRPr="00F9545A">
              <w:rPr>
                <w:bCs/>
              </w:rPr>
              <w:t>,</w:t>
            </w:r>
            <w:r w:rsidR="00041A42">
              <w:rPr>
                <w:bCs/>
              </w:rPr>
              <w:t>301</w:t>
            </w:r>
          </w:p>
        </w:tc>
      </w:tr>
      <w:tr w:rsidR="00205BDF" w:rsidRPr="00205BDF" w14:paraId="088330B5" w14:textId="77777777" w:rsidTr="003F388F">
        <w:tc>
          <w:tcPr>
            <w:tcW w:w="5807" w:type="dxa"/>
            <w:shd w:val="clear" w:color="auto" w:fill="D9D9D9" w:themeFill="background1" w:themeFillShade="D9"/>
          </w:tcPr>
          <w:p w14:paraId="138CC4BB" w14:textId="74C5B886" w:rsidR="003F388F" w:rsidRPr="00205BDF" w:rsidRDefault="003F388F" w:rsidP="003F388F">
            <w:pPr>
              <w:spacing w:line="360" w:lineRule="auto"/>
              <w:jc w:val="both"/>
              <w:rPr>
                <w:color w:val="FF0000"/>
              </w:rPr>
            </w:pPr>
            <w:r w:rsidRPr="00F9545A">
              <w:t>Strategic Element of CIL Receipts</w:t>
            </w:r>
          </w:p>
        </w:tc>
        <w:tc>
          <w:tcPr>
            <w:tcW w:w="3260" w:type="dxa"/>
            <w:shd w:val="clear" w:color="auto" w:fill="D9D9D9" w:themeFill="background1" w:themeFillShade="D9"/>
          </w:tcPr>
          <w:p w14:paraId="1A63FA3A" w14:textId="53829B43" w:rsidR="003F388F" w:rsidRPr="00205BDF" w:rsidRDefault="003F388F" w:rsidP="009C7889">
            <w:pPr>
              <w:spacing w:line="360" w:lineRule="auto"/>
              <w:jc w:val="right"/>
              <w:rPr>
                <w:bCs/>
                <w:color w:val="FF0000"/>
              </w:rPr>
            </w:pPr>
            <w:r w:rsidRPr="00F9545A">
              <w:rPr>
                <w:bCs/>
              </w:rPr>
              <w:t>£</w:t>
            </w:r>
            <w:r w:rsidR="00F9545A" w:rsidRPr="00F9545A">
              <w:rPr>
                <w:bCs/>
              </w:rPr>
              <w:t>1,240,299</w:t>
            </w:r>
          </w:p>
        </w:tc>
      </w:tr>
      <w:tr w:rsidR="00205BDF" w:rsidRPr="00205BDF" w14:paraId="73186A94" w14:textId="77777777" w:rsidTr="003F388F">
        <w:tc>
          <w:tcPr>
            <w:tcW w:w="5807" w:type="dxa"/>
            <w:shd w:val="clear" w:color="auto" w:fill="D9D9D9" w:themeFill="background1" w:themeFillShade="D9"/>
          </w:tcPr>
          <w:p w14:paraId="0C82962C" w14:textId="14A52DDE" w:rsidR="003F388F" w:rsidRPr="00F9545A" w:rsidRDefault="003F388F" w:rsidP="003F388F">
            <w:pPr>
              <w:spacing w:line="360" w:lineRule="auto"/>
              <w:jc w:val="both"/>
            </w:pPr>
            <w:r w:rsidRPr="00F9545A">
              <w:t>Administration Element of CIL Receipts</w:t>
            </w:r>
          </w:p>
        </w:tc>
        <w:tc>
          <w:tcPr>
            <w:tcW w:w="3260" w:type="dxa"/>
            <w:shd w:val="clear" w:color="auto" w:fill="D9D9D9" w:themeFill="background1" w:themeFillShade="D9"/>
          </w:tcPr>
          <w:p w14:paraId="08C7C68B" w14:textId="2C06BEC8" w:rsidR="003F388F" w:rsidRPr="00F9545A" w:rsidRDefault="003F388F" w:rsidP="009C7889">
            <w:pPr>
              <w:spacing w:line="360" w:lineRule="auto"/>
              <w:jc w:val="right"/>
              <w:rPr>
                <w:bCs/>
              </w:rPr>
            </w:pPr>
            <w:r w:rsidRPr="00F9545A">
              <w:rPr>
                <w:bCs/>
              </w:rPr>
              <w:t>£</w:t>
            </w:r>
            <w:r w:rsidR="00F9545A" w:rsidRPr="00F9545A">
              <w:rPr>
                <w:bCs/>
              </w:rPr>
              <w:t>82,874</w:t>
            </w:r>
          </w:p>
        </w:tc>
      </w:tr>
      <w:tr w:rsidR="002F04BC" w:rsidRPr="00205BDF" w14:paraId="3145E0D6" w14:textId="77777777" w:rsidTr="002F04BC">
        <w:tc>
          <w:tcPr>
            <w:tcW w:w="5807" w:type="dxa"/>
            <w:shd w:val="clear" w:color="auto" w:fill="FFFFFF" w:themeFill="background1"/>
          </w:tcPr>
          <w:p w14:paraId="40ACEC0F" w14:textId="6E3E5316" w:rsidR="002F04BC" w:rsidRPr="00F9545A" w:rsidRDefault="002F04BC" w:rsidP="003F388F">
            <w:pPr>
              <w:spacing w:line="360" w:lineRule="auto"/>
              <w:jc w:val="both"/>
            </w:pPr>
            <w:r>
              <w:t>Receipts Spent on Strategic Infrastructure</w:t>
            </w:r>
          </w:p>
        </w:tc>
        <w:tc>
          <w:tcPr>
            <w:tcW w:w="3260" w:type="dxa"/>
            <w:shd w:val="clear" w:color="auto" w:fill="FFFFFF" w:themeFill="background1"/>
          </w:tcPr>
          <w:p w14:paraId="44E8C7CD" w14:textId="7B6843BD" w:rsidR="002F04BC" w:rsidRPr="00F9545A" w:rsidRDefault="002F04BC" w:rsidP="009C7889">
            <w:pPr>
              <w:spacing w:line="360" w:lineRule="auto"/>
              <w:jc w:val="right"/>
              <w:rPr>
                <w:bCs/>
              </w:rPr>
            </w:pPr>
            <w:r>
              <w:rPr>
                <w:bCs/>
              </w:rPr>
              <w:t>£</w:t>
            </w:r>
            <w:r w:rsidR="00C11EC0">
              <w:rPr>
                <w:bCs/>
              </w:rPr>
              <w:t>0</w:t>
            </w:r>
          </w:p>
        </w:tc>
      </w:tr>
      <w:tr w:rsidR="00205BDF" w:rsidRPr="00205BDF" w14:paraId="1C178574" w14:textId="77777777" w:rsidTr="00945EE9">
        <w:tc>
          <w:tcPr>
            <w:tcW w:w="5807" w:type="dxa"/>
          </w:tcPr>
          <w:p w14:paraId="0BBBFD71" w14:textId="0115D669" w:rsidR="003F388F" w:rsidRPr="00F9545A" w:rsidRDefault="003F388F" w:rsidP="003F388F">
            <w:pPr>
              <w:spacing w:line="360" w:lineRule="auto"/>
              <w:jc w:val="both"/>
            </w:pPr>
            <w:r w:rsidRPr="00F9545A">
              <w:t>Receipts Passed to Local Parishes</w:t>
            </w:r>
          </w:p>
        </w:tc>
        <w:tc>
          <w:tcPr>
            <w:tcW w:w="3260" w:type="dxa"/>
          </w:tcPr>
          <w:p w14:paraId="45F67C9E" w14:textId="547FE8C4" w:rsidR="003F388F" w:rsidRPr="00F9545A" w:rsidRDefault="003F388F" w:rsidP="009C7889">
            <w:pPr>
              <w:spacing w:line="360" w:lineRule="auto"/>
              <w:jc w:val="right"/>
              <w:rPr>
                <w:bCs/>
              </w:rPr>
            </w:pPr>
            <w:r w:rsidRPr="00F9545A">
              <w:rPr>
                <w:bCs/>
              </w:rPr>
              <w:t>£</w:t>
            </w:r>
            <w:r w:rsidR="00F9545A" w:rsidRPr="00F9545A">
              <w:rPr>
                <w:bCs/>
              </w:rPr>
              <w:t>2</w:t>
            </w:r>
            <w:r w:rsidR="002F04BC">
              <w:rPr>
                <w:bCs/>
              </w:rPr>
              <w:t>32</w:t>
            </w:r>
            <w:r w:rsidR="00F9545A" w:rsidRPr="00F9545A">
              <w:rPr>
                <w:bCs/>
              </w:rPr>
              <w:t>,</w:t>
            </w:r>
            <w:r w:rsidR="002F04BC">
              <w:rPr>
                <w:bCs/>
              </w:rPr>
              <w:t>190</w:t>
            </w:r>
          </w:p>
        </w:tc>
      </w:tr>
      <w:tr w:rsidR="00205BDF" w:rsidRPr="00205BDF" w14:paraId="7EA62689" w14:textId="77777777" w:rsidTr="00945EE9">
        <w:tc>
          <w:tcPr>
            <w:tcW w:w="5807" w:type="dxa"/>
          </w:tcPr>
          <w:p w14:paraId="575409ED" w14:textId="5A160EA0" w:rsidR="003F388F" w:rsidRPr="00F9545A" w:rsidRDefault="003F388F" w:rsidP="003F388F">
            <w:pPr>
              <w:spacing w:line="360" w:lineRule="auto"/>
              <w:jc w:val="both"/>
            </w:pPr>
            <w:r w:rsidRPr="00F9545A">
              <w:t>Receipts Awarded to Non-Parish Neighbourhood Projects</w:t>
            </w:r>
          </w:p>
        </w:tc>
        <w:tc>
          <w:tcPr>
            <w:tcW w:w="3260" w:type="dxa"/>
          </w:tcPr>
          <w:p w14:paraId="4E0DB358" w14:textId="4D01EBF1" w:rsidR="003F388F" w:rsidRPr="00F9545A" w:rsidRDefault="003F388F" w:rsidP="009C7889">
            <w:pPr>
              <w:spacing w:line="360" w:lineRule="auto"/>
              <w:jc w:val="right"/>
              <w:rPr>
                <w:bCs/>
              </w:rPr>
            </w:pPr>
            <w:r w:rsidRPr="00F9545A">
              <w:rPr>
                <w:bCs/>
              </w:rPr>
              <w:t>£</w:t>
            </w:r>
            <w:r w:rsidR="00F9545A" w:rsidRPr="00F9545A">
              <w:rPr>
                <w:bCs/>
              </w:rPr>
              <w:t>0</w:t>
            </w:r>
          </w:p>
        </w:tc>
      </w:tr>
      <w:tr w:rsidR="003F388F" w:rsidRPr="00205BDF" w14:paraId="3588DCC9" w14:textId="77777777" w:rsidTr="00945EE9">
        <w:tc>
          <w:tcPr>
            <w:tcW w:w="5807" w:type="dxa"/>
          </w:tcPr>
          <w:p w14:paraId="0656429B" w14:textId="20458B20" w:rsidR="003F388F" w:rsidRPr="00F9545A" w:rsidRDefault="003F388F" w:rsidP="003F388F">
            <w:pPr>
              <w:spacing w:line="360" w:lineRule="auto"/>
              <w:jc w:val="both"/>
              <w:rPr>
                <w:b/>
              </w:rPr>
            </w:pPr>
            <w:r w:rsidRPr="00F9545A">
              <w:rPr>
                <w:b/>
              </w:rPr>
              <w:t>CIL Receipts Retained at End of Year</w:t>
            </w:r>
          </w:p>
        </w:tc>
        <w:tc>
          <w:tcPr>
            <w:tcW w:w="3260" w:type="dxa"/>
          </w:tcPr>
          <w:p w14:paraId="3645F9B1" w14:textId="2AA35917" w:rsidR="003F388F" w:rsidRPr="00F9545A" w:rsidRDefault="00C11EC0" w:rsidP="00387196">
            <w:pPr>
              <w:spacing w:line="360" w:lineRule="auto"/>
              <w:jc w:val="right"/>
              <w:rPr>
                <w:b/>
                <w:bCs/>
              </w:rPr>
            </w:pPr>
            <w:r>
              <w:rPr>
                <w:b/>
                <w:bCs/>
              </w:rPr>
              <w:t>£1,342,410</w:t>
            </w:r>
          </w:p>
        </w:tc>
      </w:tr>
    </w:tbl>
    <w:p w14:paraId="21ABE798" w14:textId="77777777" w:rsidR="00406C04" w:rsidRPr="00205BDF" w:rsidRDefault="00406C04" w:rsidP="00406C04">
      <w:pPr>
        <w:pStyle w:val="NoSpacing"/>
        <w:rPr>
          <w:color w:val="FF0000"/>
        </w:rPr>
      </w:pPr>
    </w:p>
    <w:p w14:paraId="03E70040" w14:textId="0B03F1F3" w:rsidR="009F7521" w:rsidRPr="00205BDF" w:rsidRDefault="00720232" w:rsidP="00810EDF">
      <w:pPr>
        <w:spacing w:line="360" w:lineRule="auto"/>
        <w:jc w:val="both"/>
        <w:rPr>
          <w:color w:val="FF0000"/>
        </w:rPr>
      </w:pPr>
      <w:r w:rsidRPr="002F04BC">
        <w:t>Of the</w:t>
      </w:r>
      <w:r w:rsidR="00F220D7" w:rsidRPr="002F04BC">
        <w:t xml:space="preserve"> </w:t>
      </w:r>
      <w:r w:rsidR="00945EE9" w:rsidRPr="002F04BC">
        <w:t xml:space="preserve">receipts which were collected during </w:t>
      </w:r>
      <w:r w:rsidR="00FE4ACD" w:rsidRPr="002F04BC">
        <w:t>20</w:t>
      </w:r>
      <w:r w:rsidR="009F7521" w:rsidRPr="002F04BC">
        <w:t>2</w:t>
      </w:r>
      <w:r w:rsidR="002F04BC" w:rsidRPr="002F04BC">
        <w:t>2</w:t>
      </w:r>
      <w:r w:rsidR="00142709" w:rsidRPr="002F04BC">
        <w:t>/2</w:t>
      </w:r>
      <w:r w:rsidR="002F04BC" w:rsidRPr="002F04BC">
        <w:t>3</w:t>
      </w:r>
      <w:r w:rsidR="00945EE9" w:rsidRPr="002F04BC">
        <w:t xml:space="preserve">, </w:t>
      </w:r>
      <w:r w:rsidR="00142709" w:rsidRPr="002F04BC">
        <w:rPr>
          <w:bCs/>
        </w:rPr>
        <w:t>£</w:t>
      </w:r>
      <w:r w:rsidR="002F04BC" w:rsidRPr="002F04BC">
        <w:rPr>
          <w:bCs/>
        </w:rPr>
        <w:t xml:space="preserve">1,240,299 </w:t>
      </w:r>
      <w:r w:rsidR="00945EE9" w:rsidRPr="002F04BC">
        <w:t>is to be spent on strategic infrastructure projects that were identi</w:t>
      </w:r>
      <w:r w:rsidR="009F7521" w:rsidRPr="002F04BC">
        <w:t>fied on the Infrastructure List (previously Regulation 123 List</w:t>
      </w:r>
      <w:r w:rsidR="009F7521" w:rsidRPr="00491559">
        <w:t xml:space="preserve">), </w:t>
      </w:r>
      <w:r w:rsidR="00945EE9" w:rsidRPr="00491559">
        <w:t xml:space="preserve">while </w:t>
      </w:r>
      <w:r w:rsidR="00142709" w:rsidRPr="00491559">
        <w:rPr>
          <w:bCs/>
        </w:rPr>
        <w:t>£</w:t>
      </w:r>
      <w:r w:rsidR="00491559" w:rsidRPr="00491559">
        <w:rPr>
          <w:bCs/>
        </w:rPr>
        <w:t>334,301</w:t>
      </w:r>
      <w:r w:rsidR="00116F9D" w:rsidRPr="00491559">
        <w:rPr>
          <w:bCs/>
        </w:rPr>
        <w:t xml:space="preserve"> </w:t>
      </w:r>
      <w:r w:rsidR="00F220D7" w:rsidRPr="00491559">
        <w:t xml:space="preserve">is to be spent in the locality it was collected </w:t>
      </w:r>
      <w:r w:rsidR="00945EE9" w:rsidRPr="00491559">
        <w:t>as part of the ne</w:t>
      </w:r>
      <w:r w:rsidR="009F7521" w:rsidRPr="00491559">
        <w:t>ighbourhood portion of the CIL.</w:t>
      </w:r>
    </w:p>
    <w:p w14:paraId="5C388B43" w14:textId="539FDF75" w:rsidR="004B545D" w:rsidRPr="00491559" w:rsidRDefault="009F7521" w:rsidP="00810EDF">
      <w:pPr>
        <w:spacing w:line="360" w:lineRule="auto"/>
        <w:jc w:val="both"/>
      </w:pPr>
      <w:r w:rsidRPr="00491559">
        <w:t>I</w:t>
      </w:r>
      <w:r w:rsidR="006C2BFF" w:rsidRPr="00491559">
        <w:t>n accordance with Regulation 59A of the</w:t>
      </w:r>
      <w:r w:rsidR="00945EE9" w:rsidRPr="00491559">
        <w:t xml:space="preserve"> </w:t>
      </w:r>
      <w:r w:rsidR="00720232" w:rsidRPr="00491559">
        <w:t>Community Infrastructure Levy (Amendment) (England) (No. 2) Regulations 2019</w:t>
      </w:r>
      <w:r w:rsidRPr="00491559">
        <w:t xml:space="preserve">, a total of </w:t>
      </w:r>
      <w:r w:rsidR="00116F9D" w:rsidRPr="00491559">
        <w:rPr>
          <w:bCs/>
        </w:rPr>
        <w:t>£</w:t>
      </w:r>
      <w:r w:rsidR="00491559" w:rsidRPr="00491559">
        <w:rPr>
          <w:bCs/>
        </w:rPr>
        <w:t>232,190</w:t>
      </w:r>
      <w:r w:rsidR="00142709" w:rsidRPr="00491559">
        <w:rPr>
          <w:bCs/>
        </w:rPr>
        <w:t xml:space="preserve"> </w:t>
      </w:r>
      <w:r w:rsidR="00491559">
        <w:t>from the Neighbourhood Portion</w:t>
      </w:r>
      <w:r w:rsidRPr="00491559">
        <w:t xml:space="preserve"> of CIL Receipts ha</w:t>
      </w:r>
      <w:r w:rsidR="00C11EC0">
        <w:t>s</w:t>
      </w:r>
      <w:r w:rsidRPr="00491559">
        <w:t xml:space="preserve"> been passed directly to the Local Parishes from where they were collected.</w:t>
      </w:r>
    </w:p>
    <w:p w14:paraId="7C37D3D8" w14:textId="73F52B4D" w:rsidR="00945EE9" w:rsidRDefault="00142709" w:rsidP="00810EDF">
      <w:pPr>
        <w:spacing w:line="360" w:lineRule="auto"/>
        <w:jc w:val="both"/>
      </w:pPr>
      <w:r w:rsidRPr="00491559">
        <w:rPr>
          <w:bCs/>
        </w:rPr>
        <w:t>£</w:t>
      </w:r>
      <w:r w:rsidR="00491559" w:rsidRPr="00491559">
        <w:rPr>
          <w:bCs/>
        </w:rPr>
        <w:t>82,874</w:t>
      </w:r>
      <w:r w:rsidR="00116F9D" w:rsidRPr="00491559">
        <w:rPr>
          <w:bCs/>
        </w:rPr>
        <w:t xml:space="preserve"> (</w:t>
      </w:r>
      <w:r w:rsidRPr="00491559">
        <w:t>5%</w:t>
      </w:r>
      <w:r w:rsidR="00116F9D" w:rsidRPr="00491559">
        <w:t>)</w:t>
      </w:r>
      <w:r w:rsidRPr="00491559">
        <w:t xml:space="preserve"> of all receipts collected during the financial year,</w:t>
      </w:r>
      <w:r w:rsidR="00F220D7" w:rsidRPr="00491559">
        <w:t xml:space="preserve"> </w:t>
      </w:r>
      <w:r w:rsidRPr="00491559">
        <w:t>ha</w:t>
      </w:r>
      <w:r w:rsidR="00116F9D" w:rsidRPr="00491559">
        <w:t>ve</w:t>
      </w:r>
      <w:r w:rsidR="004B545D" w:rsidRPr="00491559">
        <w:t xml:space="preserve"> been </w:t>
      </w:r>
      <w:r w:rsidR="00F220D7" w:rsidRPr="00491559">
        <w:t xml:space="preserve">set aside to cover the administration costs as permitted </w:t>
      </w:r>
      <w:r w:rsidR="004B545D" w:rsidRPr="00491559">
        <w:t xml:space="preserve">by the </w:t>
      </w:r>
      <w:r w:rsidR="006C2BFF" w:rsidRPr="00491559">
        <w:t>Community Infrastructure Levy (Amendment) (England) (No. 2) Regulations 2019.</w:t>
      </w:r>
    </w:p>
    <w:p w14:paraId="7D121977" w14:textId="718E528E" w:rsidR="006C2BFF" w:rsidRPr="00CF0996" w:rsidRDefault="009F7521" w:rsidP="00810EDF">
      <w:pPr>
        <w:spacing w:line="360" w:lineRule="auto"/>
        <w:jc w:val="both"/>
      </w:pPr>
      <w:r w:rsidRPr="00CF0996">
        <w:t xml:space="preserve">During the financial year </w:t>
      </w:r>
      <w:r w:rsidR="00FE4ACD" w:rsidRPr="00CF0996">
        <w:t>20</w:t>
      </w:r>
      <w:r w:rsidRPr="00CF0996">
        <w:t>2</w:t>
      </w:r>
      <w:r w:rsidR="004D26E4" w:rsidRPr="00CF0996">
        <w:t>2</w:t>
      </w:r>
      <w:r w:rsidRPr="00CF0996">
        <w:t>/2</w:t>
      </w:r>
      <w:r w:rsidR="004D26E4" w:rsidRPr="00CF0996">
        <w:t>3</w:t>
      </w:r>
      <w:r w:rsidRPr="00CF0996">
        <w:t>,</w:t>
      </w:r>
      <w:r w:rsidR="00720232" w:rsidRPr="00CF0996">
        <w:t xml:space="preserve"> </w:t>
      </w:r>
      <w:r w:rsidR="004D26E4" w:rsidRPr="00CF0996">
        <w:t xml:space="preserve">it was considered that none of the nominated </w:t>
      </w:r>
      <w:r w:rsidR="00720232" w:rsidRPr="00CF0996">
        <w:t>projects</w:t>
      </w:r>
      <w:r w:rsidR="004D26E4" w:rsidRPr="00CF0996">
        <w:t xml:space="preserve"> for the annual Non-Parish Neighbourhood Funding Awards were</w:t>
      </w:r>
      <w:r w:rsidR="00720232" w:rsidRPr="00CF0996">
        <w:t xml:space="preserve"> suitable for funding</w:t>
      </w:r>
      <w:r w:rsidR="004D26E4" w:rsidRPr="00CF0996">
        <w:t xml:space="preserve"> </w:t>
      </w:r>
      <w:r w:rsidR="00CF0996" w:rsidRPr="00CF0996">
        <w:t>at such time. Subsequently</w:t>
      </w:r>
      <w:r w:rsidR="004D26E4" w:rsidRPr="00CF0996">
        <w:t xml:space="preserve"> £0 was allocated to Non-Parish Neighbourhood Projects. Details o</w:t>
      </w:r>
      <w:r w:rsidR="00CF0996" w:rsidRPr="00CF0996">
        <w:t>f</w:t>
      </w:r>
      <w:r w:rsidR="004D26E4" w:rsidRPr="00CF0996">
        <w:t xml:space="preserve"> the nominated projects and the officer recommendations can be found on the Non-Parish Neighbourhood Page of the Gedling Borough Council website</w:t>
      </w:r>
      <w:r w:rsidR="00CF0996" w:rsidRPr="00CF0996">
        <w:t xml:space="preserve"> and by viewing the minutes of the Cabinet Meeting on the </w:t>
      </w:r>
      <w:proofErr w:type="gramStart"/>
      <w:r w:rsidR="00CF0996" w:rsidRPr="00CF0996">
        <w:t>7</w:t>
      </w:r>
      <w:r w:rsidR="00CF0996" w:rsidRPr="00CF0996">
        <w:rPr>
          <w:vertAlign w:val="superscript"/>
        </w:rPr>
        <w:t>th</w:t>
      </w:r>
      <w:proofErr w:type="gramEnd"/>
      <w:r w:rsidR="00CF0996" w:rsidRPr="00CF0996">
        <w:t xml:space="preserve"> September 2023.</w:t>
      </w:r>
      <w:r w:rsidR="00CF0996">
        <w:t xml:space="preserve"> </w:t>
      </w:r>
      <w:r w:rsidR="004D26E4" w:rsidRPr="00CF0996">
        <w:lastRenderedPageBreak/>
        <w:t xml:space="preserve">The </w:t>
      </w:r>
      <w:r w:rsidR="00CF0996" w:rsidRPr="00CF0996">
        <w:t>nominated</w:t>
      </w:r>
      <w:r w:rsidR="004D26E4" w:rsidRPr="00CF0996">
        <w:t xml:space="preserve"> projects have been retained on the Local Infrastructure Schedule and any Non-Parish Neighbourhood receipts </w:t>
      </w:r>
      <w:r w:rsidR="00CF0996" w:rsidRPr="00CF0996">
        <w:t xml:space="preserve">not allocated to projects </w:t>
      </w:r>
      <w:r w:rsidR="004D26E4" w:rsidRPr="00CF0996">
        <w:t xml:space="preserve">will be carried over for consideration in 2023/24 </w:t>
      </w:r>
      <w:r w:rsidR="00720232" w:rsidRPr="00CF0996">
        <w:t xml:space="preserve">in </w:t>
      </w:r>
      <w:r w:rsidR="006C2BFF" w:rsidRPr="00CF0996">
        <w:t>accordance with Regulation</w:t>
      </w:r>
      <w:r w:rsidR="00720232" w:rsidRPr="00CF0996">
        <w:t xml:space="preserve"> 59F</w:t>
      </w:r>
      <w:r w:rsidR="006C2BFF" w:rsidRPr="00CF0996">
        <w:t xml:space="preserve"> of the Community Infrastructure Levy (Amendment) (England) (No. 2) Regulations 2019</w:t>
      </w:r>
      <w:r w:rsidR="004D26E4" w:rsidRPr="00CF0996">
        <w:t>.</w:t>
      </w:r>
    </w:p>
    <w:p w14:paraId="48092A56" w14:textId="4ED32CB4" w:rsidR="00FE4ACD" w:rsidRPr="00CF0996" w:rsidRDefault="004B545D" w:rsidP="00810EDF">
      <w:pPr>
        <w:spacing w:line="360" w:lineRule="auto"/>
        <w:jc w:val="both"/>
      </w:pPr>
      <w:r w:rsidRPr="00CF0996">
        <w:t xml:space="preserve">A total of </w:t>
      </w:r>
      <w:r w:rsidR="009040A1" w:rsidRPr="00CF0996">
        <w:rPr>
          <w:bCs/>
        </w:rPr>
        <w:t>£</w:t>
      </w:r>
      <w:r w:rsidR="00CF0996" w:rsidRPr="00CF0996">
        <w:rPr>
          <w:bCs/>
        </w:rPr>
        <w:t xml:space="preserve">1,342,410 </w:t>
      </w:r>
      <w:r w:rsidRPr="00CF0996">
        <w:t>in CIL receipts were retained at th</w:t>
      </w:r>
      <w:r w:rsidR="009F7521" w:rsidRPr="00CF0996">
        <w:t>e en</w:t>
      </w:r>
      <w:r w:rsidR="001564FF" w:rsidRPr="00CF0996">
        <w:t>d of the financial year 202</w:t>
      </w:r>
      <w:r w:rsidR="00142709" w:rsidRPr="00CF0996">
        <w:t>1</w:t>
      </w:r>
      <w:r w:rsidR="001564FF" w:rsidRPr="00CF0996">
        <w:t>/2</w:t>
      </w:r>
      <w:r w:rsidR="00142709" w:rsidRPr="00CF0996">
        <w:t>2</w:t>
      </w:r>
      <w:r w:rsidR="00CF0996" w:rsidRPr="00CF0996">
        <w:t xml:space="preserve"> which, when added to the previous years retained receipts, results in a total of </w:t>
      </w:r>
      <w:r w:rsidR="00CF0996" w:rsidRPr="00CF0996">
        <w:rPr>
          <w:bCs/>
        </w:rPr>
        <w:t>£5,614,450</w:t>
      </w:r>
      <w:r w:rsidR="00CF0996">
        <w:rPr>
          <w:bCs/>
        </w:rPr>
        <w:t xml:space="preserve"> held by </w:t>
      </w:r>
      <w:r w:rsidR="00CF0996" w:rsidRPr="00CF0996">
        <w:rPr>
          <w:bCs/>
        </w:rPr>
        <w:t>Gedling Borough Council</w:t>
      </w:r>
      <w:r w:rsidR="001564FF" w:rsidRPr="00CF0996">
        <w:t>.</w:t>
      </w:r>
    </w:p>
    <w:p w14:paraId="4FF45339" w14:textId="3F0AE091" w:rsidR="00952491" w:rsidRPr="007C38F3" w:rsidRDefault="00911872" w:rsidP="00810EDF">
      <w:pPr>
        <w:spacing w:line="360" w:lineRule="auto"/>
        <w:jc w:val="both"/>
        <w:rPr>
          <w:b/>
          <w:bCs/>
        </w:rPr>
      </w:pPr>
      <w:r w:rsidRPr="007C38F3">
        <w:rPr>
          <w:b/>
          <w:bCs/>
        </w:rPr>
        <w:t>2.2.1</w:t>
      </w:r>
      <w:r w:rsidRPr="007C38F3">
        <w:rPr>
          <w:b/>
          <w:bCs/>
        </w:rPr>
        <w:tab/>
        <w:t>Strategic CIL</w:t>
      </w:r>
    </w:p>
    <w:p w14:paraId="350892CB" w14:textId="3C035D6A" w:rsidR="00F151A8" w:rsidRPr="007C38F3" w:rsidRDefault="00911872" w:rsidP="00810EDF">
      <w:pPr>
        <w:spacing w:line="360" w:lineRule="auto"/>
        <w:jc w:val="both"/>
      </w:pPr>
      <w:r w:rsidRPr="007C38F3">
        <w:t xml:space="preserve">Since </w:t>
      </w:r>
      <w:r w:rsidR="0038148F" w:rsidRPr="007C38F3">
        <w:t>its adoption</w:t>
      </w:r>
      <w:r w:rsidRPr="007C38F3">
        <w:t xml:space="preserve"> of CIL, </w:t>
      </w:r>
      <w:r w:rsidR="00C53A37" w:rsidRPr="007C38F3">
        <w:t xml:space="preserve">to the end of the financial year </w:t>
      </w:r>
      <w:r w:rsidR="00FE4ACD" w:rsidRPr="007C38F3">
        <w:t>20</w:t>
      </w:r>
      <w:r w:rsidR="00C53A37" w:rsidRPr="007C38F3">
        <w:t>2</w:t>
      </w:r>
      <w:r w:rsidR="007C38F3" w:rsidRPr="007C38F3">
        <w:t>2</w:t>
      </w:r>
      <w:r w:rsidR="00C53A37" w:rsidRPr="007C38F3">
        <w:t>/2</w:t>
      </w:r>
      <w:r w:rsidR="007C38F3" w:rsidRPr="007C38F3">
        <w:t>3</w:t>
      </w:r>
      <w:r w:rsidR="00C53A37" w:rsidRPr="007C38F3">
        <w:t xml:space="preserve">, </w:t>
      </w:r>
      <w:r w:rsidRPr="007C38F3">
        <w:t>Gedlin</w:t>
      </w:r>
      <w:r w:rsidR="00266FDF" w:rsidRPr="007C38F3">
        <w:t>g Borough Council has collected £</w:t>
      </w:r>
      <w:r w:rsidR="007C38F3" w:rsidRPr="007C38F3">
        <w:t>5,338,039</w:t>
      </w:r>
      <w:r w:rsidRPr="007C38F3">
        <w:t xml:space="preserve"> towards the provision of its strategic projects</w:t>
      </w:r>
      <w:r w:rsidR="007526C5" w:rsidRPr="007C38F3">
        <w:t>.</w:t>
      </w:r>
    </w:p>
    <w:tbl>
      <w:tblPr>
        <w:tblStyle w:val="TableGrid"/>
        <w:tblW w:w="9067" w:type="dxa"/>
        <w:tblLook w:val="04A0" w:firstRow="1" w:lastRow="0" w:firstColumn="1" w:lastColumn="0" w:noHBand="0" w:noVBand="1"/>
        <w:tblCaption w:val="Table 4. Annual Strategic CIL Collected (to the nearest £)"/>
        <w:tblDescription w:val="An annual breakdown of CIL Receipts collected towards Strategic CIL projects."/>
      </w:tblPr>
      <w:tblGrid>
        <w:gridCol w:w="4390"/>
        <w:gridCol w:w="4677"/>
      </w:tblGrid>
      <w:tr w:rsidR="00205BDF" w:rsidRPr="00205BDF" w14:paraId="591DC2B8" w14:textId="77777777" w:rsidTr="004D4B23">
        <w:trPr>
          <w:tblHeader/>
        </w:trPr>
        <w:tc>
          <w:tcPr>
            <w:tcW w:w="9067" w:type="dxa"/>
            <w:gridSpan w:val="2"/>
            <w:shd w:val="clear" w:color="auto" w:fill="000000" w:themeFill="text1"/>
          </w:tcPr>
          <w:p w14:paraId="754E54F2" w14:textId="42D17163" w:rsidR="0038148F" w:rsidRPr="00205BDF" w:rsidRDefault="0038148F" w:rsidP="00C53A37">
            <w:pPr>
              <w:spacing w:line="360" w:lineRule="auto"/>
              <w:rPr>
                <w:b/>
                <w:bCs/>
                <w:color w:val="FF0000"/>
              </w:rPr>
            </w:pPr>
            <w:r w:rsidRPr="00F12C23">
              <w:rPr>
                <w:b/>
                <w:bCs/>
              </w:rPr>
              <w:t xml:space="preserve">Table </w:t>
            </w:r>
            <w:r w:rsidR="00E3760A" w:rsidRPr="00F12C23">
              <w:rPr>
                <w:b/>
                <w:bCs/>
              </w:rPr>
              <w:t>4</w:t>
            </w:r>
            <w:r w:rsidRPr="00F12C23">
              <w:rPr>
                <w:b/>
                <w:bCs/>
              </w:rPr>
              <w:t xml:space="preserve">. Annual Strategic CIL </w:t>
            </w:r>
            <w:r w:rsidR="005C06C5" w:rsidRPr="00F12C23">
              <w:rPr>
                <w:b/>
                <w:bCs/>
              </w:rPr>
              <w:t>C</w:t>
            </w:r>
            <w:r w:rsidRPr="00F12C23">
              <w:rPr>
                <w:b/>
                <w:bCs/>
              </w:rPr>
              <w:t>ollected</w:t>
            </w:r>
            <w:r w:rsidR="00116F9D" w:rsidRPr="00F12C23">
              <w:rPr>
                <w:b/>
                <w:bCs/>
              </w:rPr>
              <w:t xml:space="preserve"> (to the nearest £)</w:t>
            </w:r>
          </w:p>
        </w:tc>
      </w:tr>
      <w:tr w:rsidR="00205BDF" w:rsidRPr="00205BDF" w14:paraId="31A36F7B" w14:textId="77777777" w:rsidTr="0044563A">
        <w:tc>
          <w:tcPr>
            <w:tcW w:w="4390" w:type="dxa"/>
            <w:shd w:val="clear" w:color="auto" w:fill="D9D9D9" w:themeFill="background1" w:themeFillShade="D9"/>
          </w:tcPr>
          <w:p w14:paraId="65C401F4" w14:textId="77777777" w:rsidR="0038148F" w:rsidRPr="007C38F3" w:rsidRDefault="0038148F" w:rsidP="00BC071E">
            <w:pPr>
              <w:spacing w:line="360" w:lineRule="auto"/>
              <w:rPr>
                <w:b/>
              </w:rPr>
            </w:pPr>
            <w:r w:rsidRPr="007C38F3">
              <w:rPr>
                <w:b/>
              </w:rPr>
              <w:t>Year</w:t>
            </w:r>
          </w:p>
        </w:tc>
        <w:tc>
          <w:tcPr>
            <w:tcW w:w="4677" w:type="dxa"/>
            <w:shd w:val="clear" w:color="auto" w:fill="D9D9D9" w:themeFill="background1" w:themeFillShade="D9"/>
          </w:tcPr>
          <w:p w14:paraId="2B8BEA2C" w14:textId="7DF24A7F" w:rsidR="0038148F" w:rsidRPr="007C38F3" w:rsidRDefault="0098272D" w:rsidP="00BC071E">
            <w:pPr>
              <w:spacing w:line="360" w:lineRule="auto"/>
              <w:rPr>
                <w:b/>
              </w:rPr>
            </w:pPr>
            <w:r w:rsidRPr="007C38F3">
              <w:rPr>
                <w:b/>
              </w:rPr>
              <w:t>Income</w:t>
            </w:r>
          </w:p>
        </w:tc>
      </w:tr>
      <w:tr w:rsidR="00205BDF" w:rsidRPr="00205BDF" w14:paraId="1C7A2AF7" w14:textId="77777777" w:rsidTr="00BC071E">
        <w:tc>
          <w:tcPr>
            <w:tcW w:w="4390" w:type="dxa"/>
          </w:tcPr>
          <w:p w14:paraId="65F87ED3" w14:textId="77777777" w:rsidR="00C53A37" w:rsidRPr="007C38F3" w:rsidRDefault="00C53A37" w:rsidP="00C53A37">
            <w:pPr>
              <w:spacing w:line="360" w:lineRule="auto"/>
            </w:pPr>
            <w:r w:rsidRPr="007C38F3">
              <w:t>2015/16</w:t>
            </w:r>
          </w:p>
        </w:tc>
        <w:tc>
          <w:tcPr>
            <w:tcW w:w="4677" w:type="dxa"/>
          </w:tcPr>
          <w:p w14:paraId="092646E3" w14:textId="1F0B4C6C" w:rsidR="00C53A37" w:rsidRPr="007C38F3" w:rsidRDefault="00C53A37" w:rsidP="00C53A37">
            <w:pPr>
              <w:spacing w:line="360" w:lineRule="auto"/>
              <w:rPr>
                <w:bCs/>
              </w:rPr>
            </w:pPr>
            <w:r w:rsidRPr="007C38F3">
              <w:rPr>
                <w:rFonts w:cs="Arial"/>
                <w:szCs w:val="24"/>
              </w:rPr>
              <w:t>£0</w:t>
            </w:r>
          </w:p>
        </w:tc>
      </w:tr>
      <w:tr w:rsidR="00205BDF" w:rsidRPr="00205BDF" w14:paraId="40D03EE5" w14:textId="77777777" w:rsidTr="0044563A">
        <w:tc>
          <w:tcPr>
            <w:tcW w:w="4390" w:type="dxa"/>
            <w:shd w:val="clear" w:color="auto" w:fill="D9D9D9" w:themeFill="background1" w:themeFillShade="D9"/>
          </w:tcPr>
          <w:p w14:paraId="15CEF790" w14:textId="77777777" w:rsidR="00C53A37" w:rsidRPr="007C38F3" w:rsidRDefault="00C53A37" w:rsidP="00C53A37">
            <w:pPr>
              <w:spacing w:line="360" w:lineRule="auto"/>
            </w:pPr>
            <w:r w:rsidRPr="007C38F3">
              <w:t>2016/17</w:t>
            </w:r>
          </w:p>
        </w:tc>
        <w:tc>
          <w:tcPr>
            <w:tcW w:w="4677" w:type="dxa"/>
            <w:shd w:val="clear" w:color="auto" w:fill="D9D9D9" w:themeFill="background1" w:themeFillShade="D9"/>
          </w:tcPr>
          <w:p w14:paraId="3FFBFAC5" w14:textId="4FF7A119" w:rsidR="00C53A37" w:rsidRPr="007C38F3" w:rsidRDefault="00116F9D" w:rsidP="00116F9D">
            <w:pPr>
              <w:spacing w:line="360" w:lineRule="auto"/>
              <w:rPr>
                <w:bCs/>
              </w:rPr>
            </w:pPr>
            <w:r w:rsidRPr="007C38F3">
              <w:rPr>
                <w:rFonts w:cs="Arial"/>
                <w:szCs w:val="24"/>
              </w:rPr>
              <w:t>£33,695</w:t>
            </w:r>
          </w:p>
        </w:tc>
      </w:tr>
      <w:tr w:rsidR="00205BDF" w:rsidRPr="00205BDF" w14:paraId="2B37D722" w14:textId="77777777" w:rsidTr="00BC071E">
        <w:tc>
          <w:tcPr>
            <w:tcW w:w="4390" w:type="dxa"/>
          </w:tcPr>
          <w:p w14:paraId="10099D2D" w14:textId="77777777" w:rsidR="00C53A37" w:rsidRPr="007C38F3" w:rsidRDefault="00C53A37" w:rsidP="00C53A37">
            <w:pPr>
              <w:spacing w:line="360" w:lineRule="auto"/>
            </w:pPr>
            <w:r w:rsidRPr="007C38F3">
              <w:t>2017/18</w:t>
            </w:r>
          </w:p>
        </w:tc>
        <w:tc>
          <w:tcPr>
            <w:tcW w:w="4677" w:type="dxa"/>
          </w:tcPr>
          <w:p w14:paraId="5BDF93D9" w14:textId="6C9D4B72" w:rsidR="00C53A37" w:rsidRPr="007C38F3" w:rsidRDefault="00C53A37" w:rsidP="00116F9D">
            <w:pPr>
              <w:spacing w:line="360" w:lineRule="auto"/>
              <w:rPr>
                <w:bCs/>
              </w:rPr>
            </w:pPr>
            <w:r w:rsidRPr="007C38F3">
              <w:rPr>
                <w:rFonts w:cs="Arial"/>
                <w:szCs w:val="24"/>
              </w:rPr>
              <w:t>£333,580</w:t>
            </w:r>
          </w:p>
        </w:tc>
      </w:tr>
      <w:tr w:rsidR="00205BDF" w:rsidRPr="00205BDF" w14:paraId="3DEB7734" w14:textId="77777777" w:rsidTr="0044563A">
        <w:tc>
          <w:tcPr>
            <w:tcW w:w="4390" w:type="dxa"/>
            <w:shd w:val="clear" w:color="auto" w:fill="D9D9D9" w:themeFill="background1" w:themeFillShade="D9"/>
          </w:tcPr>
          <w:p w14:paraId="1844EB07" w14:textId="77777777" w:rsidR="00C53A37" w:rsidRPr="007C38F3" w:rsidRDefault="00C53A37" w:rsidP="00C53A37">
            <w:pPr>
              <w:spacing w:line="360" w:lineRule="auto"/>
            </w:pPr>
            <w:r w:rsidRPr="007C38F3">
              <w:t>2018/19</w:t>
            </w:r>
          </w:p>
        </w:tc>
        <w:tc>
          <w:tcPr>
            <w:tcW w:w="4677" w:type="dxa"/>
            <w:shd w:val="clear" w:color="auto" w:fill="D9D9D9" w:themeFill="background1" w:themeFillShade="D9"/>
          </w:tcPr>
          <w:p w14:paraId="26F91D72" w14:textId="44B33A3C" w:rsidR="00C53A37" w:rsidRPr="007C38F3" w:rsidRDefault="00C53A37" w:rsidP="00116F9D">
            <w:pPr>
              <w:spacing w:line="360" w:lineRule="auto"/>
              <w:rPr>
                <w:bCs/>
              </w:rPr>
            </w:pPr>
            <w:r w:rsidRPr="007C38F3">
              <w:rPr>
                <w:rFonts w:cs="Arial"/>
                <w:szCs w:val="24"/>
              </w:rPr>
              <w:t>£530,147</w:t>
            </w:r>
          </w:p>
        </w:tc>
      </w:tr>
      <w:tr w:rsidR="00205BDF" w:rsidRPr="00205BDF" w14:paraId="7D1FFA07" w14:textId="77777777" w:rsidTr="00BC071E">
        <w:tc>
          <w:tcPr>
            <w:tcW w:w="4390" w:type="dxa"/>
          </w:tcPr>
          <w:p w14:paraId="0D48E919" w14:textId="77777777" w:rsidR="00C53A37" w:rsidRPr="007C38F3" w:rsidRDefault="00C53A37" w:rsidP="00C53A37">
            <w:pPr>
              <w:spacing w:line="360" w:lineRule="auto"/>
            </w:pPr>
            <w:r w:rsidRPr="007C38F3">
              <w:t>2019/20</w:t>
            </w:r>
          </w:p>
        </w:tc>
        <w:tc>
          <w:tcPr>
            <w:tcW w:w="4677" w:type="dxa"/>
          </w:tcPr>
          <w:p w14:paraId="41232A71" w14:textId="30498DD9" w:rsidR="00C53A37" w:rsidRPr="007C38F3" w:rsidRDefault="00116F9D" w:rsidP="00C53A37">
            <w:pPr>
              <w:spacing w:line="360" w:lineRule="auto"/>
              <w:rPr>
                <w:bCs/>
              </w:rPr>
            </w:pPr>
            <w:r w:rsidRPr="007C38F3">
              <w:rPr>
                <w:rFonts w:cs="Arial"/>
                <w:szCs w:val="24"/>
              </w:rPr>
              <w:t>£332,116</w:t>
            </w:r>
          </w:p>
        </w:tc>
      </w:tr>
      <w:tr w:rsidR="00205BDF" w:rsidRPr="00205BDF" w14:paraId="7651BDE9" w14:textId="77777777" w:rsidTr="00FE4ACD">
        <w:tc>
          <w:tcPr>
            <w:tcW w:w="4390" w:type="dxa"/>
            <w:shd w:val="clear" w:color="auto" w:fill="D9D9D9" w:themeFill="background1" w:themeFillShade="D9"/>
          </w:tcPr>
          <w:p w14:paraId="6B9F07C7" w14:textId="7500012E" w:rsidR="00C53A37" w:rsidRPr="007C38F3" w:rsidRDefault="00C53A37" w:rsidP="00C53A37">
            <w:pPr>
              <w:spacing w:line="360" w:lineRule="auto"/>
            </w:pPr>
            <w:r w:rsidRPr="007C38F3">
              <w:t>2020/21</w:t>
            </w:r>
          </w:p>
        </w:tc>
        <w:tc>
          <w:tcPr>
            <w:tcW w:w="4677" w:type="dxa"/>
            <w:shd w:val="clear" w:color="auto" w:fill="D9D9D9" w:themeFill="background1" w:themeFillShade="D9"/>
          </w:tcPr>
          <w:p w14:paraId="4EFA606B" w14:textId="12E12DAD" w:rsidR="00C53A37" w:rsidRPr="007C38F3" w:rsidRDefault="00116F9D" w:rsidP="00C53A37">
            <w:pPr>
              <w:spacing w:line="360" w:lineRule="auto"/>
              <w:rPr>
                <w:bCs/>
              </w:rPr>
            </w:pPr>
            <w:r w:rsidRPr="007C38F3">
              <w:rPr>
                <w:rFonts w:cs="Arial"/>
                <w:szCs w:val="24"/>
              </w:rPr>
              <w:t>£437,359</w:t>
            </w:r>
          </w:p>
        </w:tc>
      </w:tr>
      <w:tr w:rsidR="00205BDF" w:rsidRPr="00205BDF" w14:paraId="6F817EEB" w14:textId="77777777" w:rsidTr="00FE4ACD">
        <w:tc>
          <w:tcPr>
            <w:tcW w:w="4390" w:type="dxa"/>
            <w:shd w:val="clear" w:color="auto" w:fill="FFFFFF" w:themeFill="background1"/>
          </w:tcPr>
          <w:p w14:paraId="778CCC19" w14:textId="41D42E62" w:rsidR="00C53A37" w:rsidRPr="007C38F3" w:rsidRDefault="00C53A37" w:rsidP="00C53A37">
            <w:pPr>
              <w:spacing w:line="360" w:lineRule="auto"/>
            </w:pPr>
            <w:r w:rsidRPr="007C38F3">
              <w:t>2021/22</w:t>
            </w:r>
          </w:p>
        </w:tc>
        <w:tc>
          <w:tcPr>
            <w:tcW w:w="4677" w:type="dxa"/>
            <w:shd w:val="clear" w:color="auto" w:fill="FFFFFF" w:themeFill="background1"/>
          </w:tcPr>
          <w:p w14:paraId="6F7ED36A" w14:textId="28396B6B" w:rsidR="00C53A37" w:rsidRPr="007C38F3" w:rsidRDefault="00116F9D" w:rsidP="00C53A37">
            <w:pPr>
              <w:spacing w:line="360" w:lineRule="auto"/>
              <w:rPr>
                <w:bCs/>
              </w:rPr>
            </w:pPr>
            <w:r w:rsidRPr="007C38F3">
              <w:rPr>
                <w:rFonts w:cs="Arial"/>
                <w:szCs w:val="24"/>
              </w:rPr>
              <w:t>£2,430,843</w:t>
            </w:r>
          </w:p>
        </w:tc>
      </w:tr>
      <w:tr w:rsidR="007C38F3" w:rsidRPr="00205BDF" w14:paraId="56043EB9" w14:textId="77777777" w:rsidTr="007C38F3">
        <w:tc>
          <w:tcPr>
            <w:tcW w:w="4390" w:type="dxa"/>
            <w:shd w:val="clear" w:color="auto" w:fill="D9D9D9" w:themeFill="background1" w:themeFillShade="D9"/>
          </w:tcPr>
          <w:p w14:paraId="6232E21F" w14:textId="5DA83862" w:rsidR="007C38F3" w:rsidRPr="007C38F3" w:rsidRDefault="007C38F3" w:rsidP="00C53A37">
            <w:pPr>
              <w:spacing w:line="360" w:lineRule="auto"/>
            </w:pPr>
            <w:r w:rsidRPr="007C38F3">
              <w:t>2022/23</w:t>
            </w:r>
          </w:p>
        </w:tc>
        <w:tc>
          <w:tcPr>
            <w:tcW w:w="4677" w:type="dxa"/>
            <w:shd w:val="clear" w:color="auto" w:fill="D9D9D9" w:themeFill="background1" w:themeFillShade="D9"/>
          </w:tcPr>
          <w:p w14:paraId="5519B366" w14:textId="7299BCB9" w:rsidR="007C38F3" w:rsidRPr="007C38F3" w:rsidRDefault="007C38F3" w:rsidP="00C53A37">
            <w:pPr>
              <w:spacing w:line="360" w:lineRule="auto"/>
              <w:rPr>
                <w:rFonts w:cs="Arial"/>
                <w:szCs w:val="24"/>
              </w:rPr>
            </w:pPr>
            <w:r w:rsidRPr="007C38F3">
              <w:rPr>
                <w:rFonts w:cs="Arial"/>
                <w:szCs w:val="24"/>
              </w:rPr>
              <w:t>£1,240,299</w:t>
            </w:r>
          </w:p>
        </w:tc>
      </w:tr>
      <w:tr w:rsidR="00205BDF" w:rsidRPr="00205BDF" w14:paraId="78BB2555" w14:textId="77777777" w:rsidTr="007C38F3">
        <w:tc>
          <w:tcPr>
            <w:tcW w:w="4390" w:type="dxa"/>
            <w:shd w:val="clear" w:color="auto" w:fill="FFFFFF" w:themeFill="background1"/>
          </w:tcPr>
          <w:p w14:paraId="51E98A40" w14:textId="3BD6FC67" w:rsidR="002755B0" w:rsidRPr="007C38F3" w:rsidRDefault="002755B0" w:rsidP="00BC071E">
            <w:pPr>
              <w:spacing w:line="360" w:lineRule="auto"/>
              <w:rPr>
                <w:b/>
              </w:rPr>
            </w:pPr>
            <w:r w:rsidRPr="007C38F3">
              <w:rPr>
                <w:b/>
              </w:rPr>
              <w:t>Total</w:t>
            </w:r>
          </w:p>
        </w:tc>
        <w:tc>
          <w:tcPr>
            <w:tcW w:w="4677" w:type="dxa"/>
            <w:shd w:val="clear" w:color="auto" w:fill="FFFFFF" w:themeFill="background1"/>
          </w:tcPr>
          <w:p w14:paraId="07699664" w14:textId="707CE254" w:rsidR="002755B0" w:rsidRPr="007C38F3" w:rsidRDefault="002755B0" w:rsidP="00C53A37">
            <w:pPr>
              <w:spacing w:line="360" w:lineRule="auto"/>
              <w:rPr>
                <w:b/>
                <w:bCs/>
              </w:rPr>
            </w:pPr>
            <w:r w:rsidRPr="007C38F3">
              <w:rPr>
                <w:b/>
                <w:bCs/>
              </w:rPr>
              <w:t>£</w:t>
            </w:r>
            <w:r w:rsidR="007C38F3" w:rsidRPr="007C38F3">
              <w:rPr>
                <w:b/>
                <w:bCs/>
              </w:rPr>
              <w:t>5,338,039</w:t>
            </w:r>
          </w:p>
        </w:tc>
      </w:tr>
    </w:tbl>
    <w:p w14:paraId="1E14FFE9" w14:textId="77777777" w:rsidR="0038148F" w:rsidRPr="00205BDF" w:rsidRDefault="0038148F" w:rsidP="00720232">
      <w:pPr>
        <w:pStyle w:val="NoSpacing"/>
        <w:rPr>
          <w:color w:val="FF0000"/>
        </w:rPr>
      </w:pPr>
    </w:p>
    <w:p w14:paraId="09C05180" w14:textId="52A3CB13" w:rsidR="007C38F3" w:rsidRPr="00205BDF" w:rsidRDefault="00F151A8" w:rsidP="007C38F3">
      <w:pPr>
        <w:spacing w:line="360" w:lineRule="auto"/>
        <w:jc w:val="both"/>
        <w:rPr>
          <w:color w:val="FF0000"/>
        </w:rPr>
      </w:pPr>
      <w:r w:rsidRPr="007C38F3">
        <w:t>Following its introduction in 2015, the strategic portion of the CIL</w:t>
      </w:r>
      <w:r w:rsidR="00911872" w:rsidRPr="007C38F3">
        <w:t xml:space="preserve"> </w:t>
      </w:r>
      <w:r w:rsidRPr="007C38F3">
        <w:t xml:space="preserve">collected </w:t>
      </w:r>
      <w:r w:rsidR="00911872" w:rsidRPr="007C38F3">
        <w:t xml:space="preserve">has been </w:t>
      </w:r>
      <w:r w:rsidR="00720232" w:rsidRPr="007C38F3">
        <w:t>retained</w:t>
      </w:r>
      <w:r w:rsidR="00F621E5" w:rsidRPr="007C38F3">
        <w:t xml:space="preserve"> for</w:t>
      </w:r>
      <w:r w:rsidR="00911872" w:rsidRPr="007C38F3">
        <w:t xml:space="preserve"> the </w:t>
      </w:r>
      <w:r w:rsidR="00720232" w:rsidRPr="007C38F3">
        <w:t xml:space="preserve">construction of </w:t>
      </w:r>
      <w:r w:rsidR="00911872" w:rsidRPr="007C38F3">
        <w:t xml:space="preserve">Gedling Access Road (GAR) which </w:t>
      </w:r>
      <w:r w:rsidRPr="007C38F3">
        <w:t>remains</w:t>
      </w:r>
      <w:r w:rsidR="00911872" w:rsidRPr="007C38F3">
        <w:t xml:space="preserve"> the Council’s </w:t>
      </w:r>
      <w:r w:rsidR="00635413" w:rsidRPr="007C38F3">
        <w:t>first</w:t>
      </w:r>
      <w:r w:rsidR="00911872" w:rsidRPr="007C38F3">
        <w:t xml:space="preserve"> priority</w:t>
      </w:r>
      <w:r w:rsidRPr="007C38F3">
        <w:t xml:space="preserve"> in terms of key infrastructure within the Borough.</w:t>
      </w:r>
      <w:r w:rsidR="00635413" w:rsidRPr="007C38F3">
        <w:t xml:space="preserve"> </w:t>
      </w:r>
      <w:r w:rsidR="007C38F3" w:rsidRPr="007C38F3">
        <w:t>The GAR</w:t>
      </w:r>
      <w:r w:rsidR="00271BC5">
        <w:t>, subsequently named Colliery Way,</w:t>
      </w:r>
      <w:r w:rsidR="007C38F3" w:rsidRPr="007C38F3">
        <w:t xml:space="preserve"> is a new 3.8km single carriageway road which provides a link between the B684 Mapperley Plains and the A612 Trent Valley Road / Nottingham Road. This new piece of infrastructure is vital to supporting the residential growth in this area. Construction of the GAR began in January 2020 and was completed in Spring 2022. </w:t>
      </w:r>
    </w:p>
    <w:p w14:paraId="5C4154EE" w14:textId="73E0E01D" w:rsidR="00FE4ACD" w:rsidRPr="007C38F3" w:rsidRDefault="005258B1" w:rsidP="00810EDF">
      <w:pPr>
        <w:spacing w:line="360" w:lineRule="auto"/>
        <w:jc w:val="both"/>
      </w:pPr>
      <w:r>
        <w:lastRenderedPageBreak/>
        <w:t>When adopting the CIL Gedling Borough Council</w:t>
      </w:r>
      <w:r w:rsidR="00635413" w:rsidRPr="007C38F3">
        <w:t xml:space="preserve"> agreed to make a contribution of up to £4.48 million from the Strategic CIL receipt</w:t>
      </w:r>
      <w:r w:rsidR="00EA3AC3" w:rsidRPr="007C38F3">
        <w:t>s</w:t>
      </w:r>
      <w:r w:rsidR="00271BC5">
        <w:t xml:space="preserve"> to part fund the GAR</w:t>
      </w:r>
      <w:r w:rsidR="007C38F3" w:rsidRPr="007C38F3">
        <w:t xml:space="preserve">. In Autumn 2023 </w:t>
      </w:r>
      <w:r w:rsidR="007C38F3">
        <w:t xml:space="preserve">the </w:t>
      </w:r>
      <w:r w:rsidR="007C38F3" w:rsidRPr="007C38F3">
        <w:t>Borough Council transferred approx. £4.44m to Nottinghamshire County Council to fund the construction of the GAR. This payment will be fully reported in next year’s Infrastructure Funding Statement.</w:t>
      </w:r>
    </w:p>
    <w:p w14:paraId="79D201ED" w14:textId="0D31CC65" w:rsidR="00141753" w:rsidRPr="007C38F3" w:rsidRDefault="00141753" w:rsidP="00810EDF">
      <w:pPr>
        <w:spacing w:line="360" w:lineRule="auto"/>
        <w:jc w:val="both"/>
        <w:rPr>
          <w:b/>
          <w:bCs/>
        </w:rPr>
      </w:pPr>
      <w:r w:rsidRPr="007C38F3">
        <w:rPr>
          <w:b/>
          <w:bCs/>
        </w:rPr>
        <w:t>Figure 1. Map of Gedling Access Road</w:t>
      </w:r>
      <w:r w:rsidR="00271BC5">
        <w:rPr>
          <w:b/>
          <w:bCs/>
        </w:rPr>
        <w:t xml:space="preserve"> / Colliery Way</w:t>
      </w:r>
    </w:p>
    <w:p w14:paraId="4E430FDA" w14:textId="7F5A88F4" w:rsidR="009914E0" w:rsidRPr="00205BDF" w:rsidRDefault="009914E0" w:rsidP="00432F93">
      <w:pPr>
        <w:spacing w:line="360" w:lineRule="auto"/>
        <w:rPr>
          <w:color w:val="FF0000"/>
        </w:rPr>
      </w:pPr>
      <w:r w:rsidRPr="00205BDF">
        <w:rPr>
          <w:noProof/>
          <w:color w:val="FF0000"/>
          <w:lang w:eastAsia="en-GB"/>
        </w:rPr>
        <w:drawing>
          <wp:inline distT="0" distB="0" distL="0" distR="0" wp14:anchorId="4F44E3F0" wp14:editId="413C5D90">
            <wp:extent cx="5731510" cy="4045585"/>
            <wp:effectExtent l="0" t="0" r="2540" b="0"/>
            <wp:docPr id="3" name="Picture 3" descr="A map showing the layout of the Gedling Access Road (GAR)." title="Figure 1. Map of Gedling Access 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4045585"/>
                    </a:xfrm>
                    <a:prstGeom prst="rect">
                      <a:avLst/>
                    </a:prstGeom>
                  </pic:spPr>
                </pic:pic>
              </a:graphicData>
            </a:graphic>
          </wp:inline>
        </w:drawing>
      </w:r>
    </w:p>
    <w:p w14:paraId="545F14C2" w14:textId="4C5AB0F2" w:rsidR="00F220D7" w:rsidRPr="00A60B01" w:rsidRDefault="00B23759" w:rsidP="00810EDF">
      <w:pPr>
        <w:spacing w:line="360" w:lineRule="auto"/>
        <w:jc w:val="both"/>
        <w:rPr>
          <w:b/>
          <w:bCs/>
        </w:rPr>
      </w:pPr>
      <w:r w:rsidRPr="00A60B01">
        <w:rPr>
          <w:b/>
          <w:bCs/>
        </w:rPr>
        <w:t>2.2.2</w:t>
      </w:r>
      <w:r w:rsidRPr="00A60B01">
        <w:rPr>
          <w:b/>
          <w:bCs/>
        </w:rPr>
        <w:tab/>
        <w:t>Neighbourhood CIL</w:t>
      </w:r>
    </w:p>
    <w:p w14:paraId="7C5C1E78" w14:textId="765C784F" w:rsidR="00B23759" w:rsidRPr="00A60B01" w:rsidRDefault="00B23759" w:rsidP="00810EDF">
      <w:pPr>
        <w:spacing w:line="360" w:lineRule="auto"/>
        <w:contextualSpacing/>
        <w:jc w:val="both"/>
      </w:pPr>
      <w:r w:rsidRPr="00A60B01">
        <w:t xml:space="preserve">Under the </w:t>
      </w:r>
      <w:r w:rsidR="00720232" w:rsidRPr="00A60B01">
        <w:t xml:space="preserve">Community Infrastructure Levy (Amendment) (England) (No. 2) Regulations 2019 </w:t>
      </w:r>
      <w:r w:rsidRPr="00A60B01">
        <w:t xml:space="preserve">a ‘meaningful proportion of CIL receipts are to be passed to local town or parish councils for the area where development takes place. This is known as the ‘neighbourhood portion’.  The neighbourhood portion to be passed to the local council is set at 15% of the relevant CIL receipts (up to a cap of £100 per existing council tax dwelling) or 25% with no maximum cap specified where there is a Neighbourhood </w:t>
      </w:r>
      <w:r w:rsidR="003E47AA" w:rsidRPr="00A60B01">
        <w:t xml:space="preserve">Development Plan in place. </w:t>
      </w:r>
      <w:r w:rsidRPr="00A60B01">
        <w:t>At this time there are four Neighbourhood Plans ‘made’ within Gedling Borough:</w:t>
      </w:r>
    </w:p>
    <w:p w14:paraId="779E111C" w14:textId="19756A7C" w:rsidR="00B23759" w:rsidRPr="00A60B01" w:rsidRDefault="00B23759" w:rsidP="00810EDF">
      <w:pPr>
        <w:pStyle w:val="ListParagraph"/>
        <w:numPr>
          <w:ilvl w:val="0"/>
          <w:numId w:val="7"/>
        </w:numPr>
        <w:spacing w:line="360" w:lineRule="auto"/>
        <w:jc w:val="both"/>
      </w:pPr>
      <w:r w:rsidRPr="00A60B01">
        <w:lastRenderedPageBreak/>
        <w:t>Burton Joyce Neighbourhood Plan,</w:t>
      </w:r>
    </w:p>
    <w:p w14:paraId="1B094DC5" w14:textId="4462B2E2" w:rsidR="00B23759" w:rsidRPr="00A60B01" w:rsidRDefault="00B23759" w:rsidP="00810EDF">
      <w:pPr>
        <w:pStyle w:val="ListParagraph"/>
        <w:numPr>
          <w:ilvl w:val="0"/>
          <w:numId w:val="7"/>
        </w:numPr>
        <w:spacing w:line="360" w:lineRule="auto"/>
        <w:jc w:val="both"/>
      </w:pPr>
      <w:r w:rsidRPr="00A60B01">
        <w:t>Calverton Neighbourhood Plan,</w:t>
      </w:r>
    </w:p>
    <w:p w14:paraId="6A04EC44" w14:textId="75378BD2" w:rsidR="00B23759" w:rsidRPr="00A60B01" w:rsidRDefault="00B23759" w:rsidP="00810EDF">
      <w:pPr>
        <w:pStyle w:val="ListParagraph"/>
        <w:numPr>
          <w:ilvl w:val="0"/>
          <w:numId w:val="7"/>
        </w:numPr>
        <w:spacing w:line="360" w:lineRule="auto"/>
        <w:jc w:val="both"/>
      </w:pPr>
      <w:r w:rsidRPr="00A60B01">
        <w:t>Linby Neighbourhood Plan, and</w:t>
      </w:r>
    </w:p>
    <w:p w14:paraId="011C275A" w14:textId="2C7380B4" w:rsidR="003407E7" w:rsidRPr="00A60B01" w:rsidRDefault="00B23759" w:rsidP="00810EDF">
      <w:pPr>
        <w:pStyle w:val="ListParagraph"/>
        <w:numPr>
          <w:ilvl w:val="0"/>
          <w:numId w:val="7"/>
        </w:numPr>
        <w:spacing w:line="360" w:lineRule="auto"/>
        <w:jc w:val="both"/>
      </w:pPr>
      <w:r w:rsidRPr="00A60B01">
        <w:t>Papplewick Neighbourhood Plan.</w:t>
      </w:r>
    </w:p>
    <w:p w14:paraId="2FA52025" w14:textId="581CD445" w:rsidR="00EB63FE" w:rsidRPr="00A60B01" w:rsidRDefault="0010187C" w:rsidP="00810EDF">
      <w:pPr>
        <w:spacing w:line="360" w:lineRule="auto"/>
        <w:jc w:val="both"/>
      </w:pPr>
      <w:r w:rsidRPr="00A60B01">
        <w:t>Table 5 below shows the portion of the Neighbourhood CIL Receipts which have bee</w:t>
      </w:r>
      <w:r w:rsidR="00FE4ACD" w:rsidRPr="00A60B01">
        <w:t>n collected on behalf of local Parish Councils</w:t>
      </w:r>
      <w:r w:rsidRPr="00A60B01">
        <w:t>.</w:t>
      </w:r>
    </w:p>
    <w:tbl>
      <w:tblPr>
        <w:tblStyle w:val="TableGrid"/>
        <w:tblW w:w="9067" w:type="dxa"/>
        <w:tblLook w:val="04A0" w:firstRow="1" w:lastRow="0" w:firstColumn="1" w:lastColumn="0" w:noHBand="0" w:noVBand="1"/>
        <w:tblCaption w:val="Table 5. Neighbourhood CIL Awarded to Local Parishes (to the nearest £)"/>
        <w:tblDescription w:val="An annual breakdown of CIL Receipts passed to Local Parishes. "/>
      </w:tblPr>
      <w:tblGrid>
        <w:gridCol w:w="4390"/>
        <w:gridCol w:w="4677"/>
      </w:tblGrid>
      <w:tr w:rsidR="00205BDF" w:rsidRPr="00205BDF" w14:paraId="065CA679" w14:textId="77777777" w:rsidTr="004D4B23">
        <w:trPr>
          <w:tblHeader/>
        </w:trPr>
        <w:tc>
          <w:tcPr>
            <w:tcW w:w="9067" w:type="dxa"/>
            <w:gridSpan w:val="2"/>
            <w:shd w:val="clear" w:color="auto" w:fill="000000" w:themeFill="text1"/>
          </w:tcPr>
          <w:p w14:paraId="2BC02BCA" w14:textId="7B6B9591" w:rsidR="0010187C" w:rsidRPr="00A60B01" w:rsidRDefault="0010187C" w:rsidP="0010187C">
            <w:pPr>
              <w:spacing w:line="360" w:lineRule="auto"/>
              <w:rPr>
                <w:b/>
                <w:bCs/>
              </w:rPr>
            </w:pPr>
            <w:r w:rsidRPr="00A60B01">
              <w:rPr>
                <w:b/>
                <w:bCs/>
              </w:rPr>
              <w:t>Table 5. Neighbourhood CIL Awarded to Local Parishes (to the nearest £)</w:t>
            </w:r>
          </w:p>
        </w:tc>
      </w:tr>
      <w:tr w:rsidR="00205BDF" w:rsidRPr="00205BDF" w14:paraId="4A152A70" w14:textId="77777777" w:rsidTr="0044563A">
        <w:tc>
          <w:tcPr>
            <w:tcW w:w="4390" w:type="dxa"/>
            <w:shd w:val="clear" w:color="auto" w:fill="D9D9D9" w:themeFill="background1" w:themeFillShade="D9"/>
          </w:tcPr>
          <w:p w14:paraId="2B6B2B60" w14:textId="77777777" w:rsidR="0010187C" w:rsidRPr="009D1F10" w:rsidRDefault="0010187C" w:rsidP="0010187C">
            <w:pPr>
              <w:spacing w:line="360" w:lineRule="auto"/>
              <w:rPr>
                <w:b/>
              </w:rPr>
            </w:pPr>
            <w:r w:rsidRPr="009D1F10">
              <w:rPr>
                <w:b/>
              </w:rPr>
              <w:t>Year</w:t>
            </w:r>
          </w:p>
        </w:tc>
        <w:tc>
          <w:tcPr>
            <w:tcW w:w="4677" w:type="dxa"/>
            <w:shd w:val="clear" w:color="auto" w:fill="D9D9D9" w:themeFill="background1" w:themeFillShade="D9"/>
          </w:tcPr>
          <w:p w14:paraId="496BDD4A" w14:textId="77777777" w:rsidR="0010187C" w:rsidRPr="009D1F10" w:rsidRDefault="0010187C" w:rsidP="0010187C">
            <w:pPr>
              <w:spacing w:line="360" w:lineRule="auto"/>
              <w:rPr>
                <w:b/>
              </w:rPr>
            </w:pPr>
            <w:r w:rsidRPr="009D1F10">
              <w:rPr>
                <w:b/>
              </w:rPr>
              <w:t>Income</w:t>
            </w:r>
          </w:p>
        </w:tc>
      </w:tr>
      <w:tr w:rsidR="00205BDF" w:rsidRPr="00205BDF" w14:paraId="7C5AFAD9" w14:textId="77777777" w:rsidTr="00760FDD">
        <w:tc>
          <w:tcPr>
            <w:tcW w:w="4390" w:type="dxa"/>
          </w:tcPr>
          <w:p w14:paraId="2909DA43" w14:textId="07AFBD88" w:rsidR="0010187C" w:rsidRPr="009D1F10" w:rsidRDefault="0010187C" w:rsidP="0010187C">
            <w:pPr>
              <w:spacing w:line="360" w:lineRule="auto"/>
            </w:pPr>
            <w:r w:rsidRPr="009D1F10">
              <w:t>2015/16</w:t>
            </w:r>
          </w:p>
        </w:tc>
        <w:tc>
          <w:tcPr>
            <w:tcW w:w="4677" w:type="dxa"/>
          </w:tcPr>
          <w:p w14:paraId="7A07126E" w14:textId="2C6CB938" w:rsidR="0010187C" w:rsidRPr="009D1F10" w:rsidRDefault="0010187C" w:rsidP="0010187C">
            <w:pPr>
              <w:spacing w:line="360" w:lineRule="auto"/>
              <w:rPr>
                <w:bCs/>
              </w:rPr>
            </w:pPr>
            <w:r w:rsidRPr="009D1F10">
              <w:rPr>
                <w:bCs/>
              </w:rPr>
              <w:t>£0</w:t>
            </w:r>
          </w:p>
        </w:tc>
      </w:tr>
      <w:tr w:rsidR="00205BDF" w:rsidRPr="00205BDF" w14:paraId="7B62BBAC" w14:textId="77777777" w:rsidTr="00760FDD">
        <w:tc>
          <w:tcPr>
            <w:tcW w:w="4390" w:type="dxa"/>
            <w:shd w:val="clear" w:color="auto" w:fill="D9D9D9" w:themeFill="background1" w:themeFillShade="D9"/>
          </w:tcPr>
          <w:p w14:paraId="49563E75" w14:textId="44AFB23B" w:rsidR="0010187C" w:rsidRPr="009D1F10" w:rsidRDefault="0010187C" w:rsidP="0010187C">
            <w:pPr>
              <w:spacing w:line="360" w:lineRule="auto"/>
            </w:pPr>
            <w:r w:rsidRPr="009D1F10">
              <w:t>2016/17</w:t>
            </w:r>
          </w:p>
        </w:tc>
        <w:tc>
          <w:tcPr>
            <w:tcW w:w="4677" w:type="dxa"/>
            <w:shd w:val="clear" w:color="auto" w:fill="D9D9D9" w:themeFill="background1" w:themeFillShade="D9"/>
          </w:tcPr>
          <w:p w14:paraId="0CA6F070" w14:textId="1CB81CD0" w:rsidR="0010187C" w:rsidRPr="009D1F10" w:rsidRDefault="0010187C" w:rsidP="0010187C">
            <w:pPr>
              <w:spacing w:line="360" w:lineRule="auto"/>
              <w:rPr>
                <w:bCs/>
              </w:rPr>
            </w:pPr>
            <w:r w:rsidRPr="009D1F10">
              <w:rPr>
                <w:bCs/>
              </w:rPr>
              <w:t>£3,842</w:t>
            </w:r>
          </w:p>
        </w:tc>
      </w:tr>
      <w:tr w:rsidR="00205BDF" w:rsidRPr="00205BDF" w14:paraId="5EF12243" w14:textId="77777777" w:rsidTr="00760FDD">
        <w:tc>
          <w:tcPr>
            <w:tcW w:w="4390" w:type="dxa"/>
          </w:tcPr>
          <w:p w14:paraId="15C69E29" w14:textId="59D3D5FE" w:rsidR="0010187C" w:rsidRPr="009D1F10" w:rsidRDefault="0010187C" w:rsidP="0010187C">
            <w:pPr>
              <w:spacing w:line="360" w:lineRule="auto"/>
            </w:pPr>
            <w:r w:rsidRPr="009D1F10">
              <w:t>2017/18</w:t>
            </w:r>
          </w:p>
        </w:tc>
        <w:tc>
          <w:tcPr>
            <w:tcW w:w="4677" w:type="dxa"/>
          </w:tcPr>
          <w:p w14:paraId="7FAE5B4A" w14:textId="65FB79DF" w:rsidR="0010187C" w:rsidRPr="009D1F10" w:rsidRDefault="0010187C" w:rsidP="0010187C">
            <w:pPr>
              <w:spacing w:line="360" w:lineRule="auto"/>
              <w:rPr>
                <w:bCs/>
              </w:rPr>
            </w:pPr>
            <w:r w:rsidRPr="009D1F10">
              <w:rPr>
                <w:bCs/>
              </w:rPr>
              <w:t>£12,374</w:t>
            </w:r>
          </w:p>
        </w:tc>
      </w:tr>
      <w:tr w:rsidR="00205BDF" w:rsidRPr="00205BDF" w14:paraId="5A922FB0" w14:textId="77777777" w:rsidTr="00760FDD">
        <w:tc>
          <w:tcPr>
            <w:tcW w:w="4390" w:type="dxa"/>
            <w:shd w:val="clear" w:color="auto" w:fill="D9D9D9" w:themeFill="background1" w:themeFillShade="D9"/>
          </w:tcPr>
          <w:p w14:paraId="63BC5242" w14:textId="5EB80561" w:rsidR="0010187C" w:rsidRPr="009D1F10" w:rsidRDefault="0010187C" w:rsidP="0010187C">
            <w:pPr>
              <w:spacing w:line="360" w:lineRule="auto"/>
            </w:pPr>
            <w:r w:rsidRPr="009D1F10">
              <w:t>2018/19</w:t>
            </w:r>
          </w:p>
        </w:tc>
        <w:tc>
          <w:tcPr>
            <w:tcW w:w="4677" w:type="dxa"/>
            <w:shd w:val="clear" w:color="auto" w:fill="D9D9D9" w:themeFill="background1" w:themeFillShade="D9"/>
          </w:tcPr>
          <w:p w14:paraId="4AAC99B9" w14:textId="7A1B3259" w:rsidR="0010187C" w:rsidRPr="009D1F10" w:rsidRDefault="0010187C" w:rsidP="0010187C">
            <w:pPr>
              <w:spacing w:line="360" w:lineRule="auto"/>
              <w:rPr>
                <w:bCs/>
              </w:rPr>
            </w:pPr>
            <w:r w:rsidRPr="009D1F10">
              <w:rPr>
                <w:bCs/>
              </w:rPr>
              <w:t>£8,059</w:t>
            </w:r>
          </w:p>
        </w:tc>
      </w:tr>
      <w:tr w:rsidR="00205BDF" w:rsidRPr="00205BDF" w14:paraId="2C9D5885" w14:textId="77777777" w:rsidTr="00760FDD">
        <w:tc>
          <w:tcPr>
            <w:tcW w:w="4390" w:type="dxa"/>
          </w:tcPr>
          <w:p w14:paraId="353C58D7" w14:textId="1CCF2420" w:rsidR="0010187C" w:rsidRPr="009D1F10" w:rsidRDefault="0010187C" w:rsidP="0010187C">
            <w:pPr>
              <w:spacing w:line="360" w:lineRule="auto"/>
            </w:pPr>
            <w:r w:rsidRPr="009D1F10">
              <w:t>2019/20</w:t>
            </w:r>
          </w:p>
        </w:tc>
        <w:tc>
          <w:tcPr>
            <w:tcW w:w="4677" w:type="dxa"/>
          </w:tcPr>
          <w:p w14:paraId="67290B24" w14:textId="715D8DEC" w:rsidR="0010187C" w:rsidRPr="009D1F10" w:rsidRDefault="0010187C" w:rsidP="0010187C">
            <w:pPr>
              <w:spacing w:line="360" w:lineRule="auto"/>
              <w:rPr>
                <w:bCs/>
              </w:rPr>
            </w:pPr>
            <w:r w:rsidRPr="009D1F10">
              <w:rPr>
                <w:bCs/>
              </w:rPr>
              <w:t>£23,808</w:t>
            </w:r>
          </w:p>
        </w:tc>
      </w:tr>
      <w:tr w:rsidR="00205BDF" w:rsidRPr="00205BDF" w14:paraId="4FC035C6" w14:textId="77777777" w:rsidTr="00760FDD">
        <w:tc>
          <w:tcPr>
            <w:tcW w:w="4390" w:type="dxa"/>
            <w:shd w:val="clear" w:color="auto" w:fill="D9D9D9" w:themeFill="background1" w:themeFillShade="D9"/>
          </w:tcPr>
          <w:p w14:paraId="720FC244" w14:textId="18C63231" w:rsidR="0010187C" w:rsidRPr="009D1F10" w:rsidRDefault="0010187C" w:rsidP="0010187C">
            <w:pPr>
              <w:spacing w:line="360" w:lineRule="auto"/>
            </w:pPr>
            <w:r w:rsidRPr="009D1F10">
              <w:t>2020/21</w:t>
            </w:r>
          </w:p>
        </w:tc>
        <w:tc>
          <w:tcPr>
            <w:tcW w:w="4677" w:type="dxa"/>
            <w:shd w:val="clear" w:color="auto" w:fill="D9D9D9" w:themeFill="background1" w:themeFillShade="D9"/>
          </w:tcPr>
          <w:p w14:paraId="619C99AC" w14:textId="19976BC1" w:rsidR="0010187C" w:rsidRPr="009D1F10" w:rsidRDefault="0010187C" w:rsidP="0010187C">
            <w:pPr>
              <w:spacing w:line="360" w:lineRule="auto"/>
              <w:rPr>
                <w:bCs/>
              </w:rPr>
            </w:pPr>
            <w:r w:rsidRPr="009D1F10">
              <w:rPr>
                <w:bCs/>
              </w:rPr>
              <w:t>£45,304</w:t>
            </w:r>
          </w:p>
        </w:tc>
      </w:tr>
      <w:tr w:rsidR="00205BDF" w:rsidRPr="00205BDF" w14:paraId="08B3597B" w14:textId="77777777" w:rsidTr="0010187C">
        <w:tc>
          <w:tcPr>
            <w:tcW w:w="4390" w:type="dxa"/>
            <w:shd w:val="clear" w:color="auto" w:fill="FFFFFF" w:themeFill="background1"/>
          </w:tcPr>
          <w:p w14:paraId="7FE5FD8E" w14:textId="2F6E509F" w:rsidR="00F23747" w:rsidRPr="009D1F10" w:rsidRDefault="00F23747" w:rsidP="0010187C">
            <w:pPr>
              <w:spacing w:line="360" w:lineRule="auto"/>
            </w:pPr>
            <w:r w:rsidRPr="009D1F10">
              <w:t>2021/22</w:t>
            </w:r>
          </w:p>
        </w:tc>
        <w:tc>
          <w:tcPr>
            <w:tcW w:w="4677" w:type="dxa"/>
            <w:shd w:val="clear" w:color="auto" w:fill="FFFFFF" w:themeFill="background1"/>
          </w:tcPr>
          <w:p w14:paraId="353D38A8" w14:textId="470CF3B6" w:rsidR="00F23747" w:rsidRPr="009D1F10" w:rsidRDefault="00F23747" w:rsidP="0010187C">
            <w:pPr>
              <w:spacing w:line="360" w:lineRule="auto"/>
              <w:rPr>
                <w:bCs/>
              </w:rPr>
            </w:pPr>
            <w:r w:rsidRPr="009D1F10">
              <w:rPr>
                <w:bCs/>
              </w:rPr>
              <w:t>£373,379</w:t>
            </w:r>
          </w:p>
        </w:tc>
      </w:tr>
      <w:tr w:rsidR="009D1F10" w:rsidRPr="00205BDF" w14:paraId="5B68F444" w14:textId="77777777" w:rsidTr="009D1F10">
        <w:tc>
          <w:tcPr>
            <w:tcW w:w="4390" w:type="dxa"/>
            <w:shd w:val="clear" w:color="auto" w:fill="D9D9D9" w:themeFill="background1" w:themeFillShade="D9"/>
          </w:tcPr>
          <w:p w14:paraId="431C3A20" w14:textId="4AF77433" w:rsidR="009D1F10" w:rsidRPr="009D1F10" w:rsidRDefault="009D1F10" w:rsidP="0010187C">
            <w:pPr>
              <w:spacing w:line="360" w:lineRule="auto"/>
            </w:pPr>
            <w:r w:rsidRPr="009D1F10">
              <w:t>2022/23</w:t>
            </w:r>
          </w:p>
        </w:tc>
        <w:tc>
          <w:tcPr>
            <w:tcW w:w="4677" w:type="dxa"/>
            <w:shd w:val="clear" w:color="auto" w:fill="D9D9D9" w:themeFill="background1" w:themeFillShade="D9"/>
          </w:tcPr>
          <w:p w14:paraId="2CEEACD3" w14:textId="36BA21B0" w:rsidR="009D1F10" w:rsidRPr="009D1F10" w:rsidRDefault="009D1F10" w:rsidP="0010187C">
            <w:pPr>
              <w:spacing w:line="360" w:lineRule="auto"/>
              <w:rPr>
                <w:bCs/>
              </w:rPr>
            </w:pPr>
            <w:r>
              <w:rPr>
                <w:bCs/>
              </w:rPr>
              <w:t>£232,190</w:t>
            </w:r>
          </w:p>
        </w:tc>
      </w:tr>
      <w:tr w:rsidR="00205BDF" w:rsidRPr="00205BDF" w14:paraId="4B505137" w14:textId="77777777" w:rsidTr="009D1F10">
        <w:tc>
          <w:tcPr>
            <w:tcW w:w="4390" w:type="dxa"/>
            <w:shd w:val="clear" w:color="auto" w:fill="FFFFFF" w:themeFill="background1"/>
          </w:tcPr>
          <w:p w14:paraId="4E0DA490" w14:textId="705F6408" w:rsidR="0010187C" w:rsidRPr="009D1F10" w:rsidRDefault="0010187C" w:rsidP="0010187C">
            <w:pPr>
              <w:spacing w:line="360" w:lineRule="auto"/>
              <w:rPr>
                <w:b/>
              </w:rPr>
            </w:pPr>
            <w:r w:rsidRPr="009D1F10">
              <w:rPr>
                <w:b/>
              </w:rPr>
              <w:t>Total</w:t>
            </w:r>
          </w:p>
        </w:tc>
        <w:tc>
          <w:tcPr>
            <w:tcW w:w="4677" w:type="dxa"/>
            <w:shd w:val="clear" w:color="auto" w:fill="FFFFFF" w:themeFill="background1"/>
          </w:tcPr>
          <w:p w14:paraId="7C6F0CF0" w14:textId="51431059" w:rsidR="0010187C" w:rsidRPr="009D1F10" w:rsidRDefault="0010187C" w:rsidP="00F23747">
            <w:pPr>
              <w:spacing w:line="360" w:lineRule="auto"/>
              <w:rPr>
                <w:b/>
                <w:bCs/>
              </w:rPr>
            </w:pPr>
            <w:r w:rsidRPr="009D1F10">
              <w:rPr>
                <w:b/>
                <w:bCs/>
              </w:rPr>
              <w:t>£</w:t>
            </w:r>
            <w:r w:rsidR="009D1F10">
              <w:rPr>
                <w:b/>
                <w:bCs/>
              </w:rPr>
              <w:t>698,956</w:t>
            </w:r>
          </w:p>
        </w:tc>
      </w:tr>
    </w:tbl>
    <w:p w14:paraId="7B2685AA" w14:textId="77777777" w:rsidR="00EB63FE" w:rsidRPr="00205BDF" w:rsidRDefault="00EB63FE" w:rsidP="00720232">
      <w:pPr>
        <w:pStyle w:val="NoSpacing"/>
        <w:rPr>
          <w:color w:val="FF0000"/>
        </w:rPr>
      </w:pPr>
    </w:p>
    <w:p w14:paraId="17E9D14A" w14:textId="0E019914" w:rsidR="00B23759" w:rsidRPr="00A60B01" w:rsidRDefault="00B23759" w:rsidP="00810EDF">
      <w:pPr>
        <w:spacing w:line="360" w:lineRule="auto"/>
        <w:contextualSpacing/>
        <w:jc w:val="both"/>
      </w:pPr>
      <w:r w:rsidRPr="00A60B01">
        <w:t xml:space="preserve">Where there is no Parish Council, Regulation 59A of the </w:t>
      </w:r>
      <w:r w:rsidR="00720232" w:rsidRPr="00A60B01">
        <w:t>Community Infrastructure Levy (Amendment) (England) (No. 2) Regulations 2019</w:t>
      </w:r>
      <w:r w:rsidRPr="00A60B01">
        <w:t xml:space="preserve"> places a duty on charging authorities to allocate at least 15% (up to a cap of £100 per existing council tax dwelling) or 25% (uncapped) where there is a ‘made’ Neighbourhood Plan, of CIL receipts to spend on priorities that should be agreed with the local community in areas wher</w:t>
      </w:r>
      <w:r w:rsidR="00EB63FE" w:rsidRPr="00A60B01">
        <w:t xml:space="preserve">e development is taking place. </w:t>
      </w:r>
      <w:r w:rsidR="00265CDE" w:rsidRPr="00A60B01">
        <w:t>Gedling Borough Council undertake annual consultations with local residents and groups to identify and assess projects which may be suitable for</w:t>
      </w:r>
      <w:r w:rsidRPr="00A60B01">
        <w:t xml:space="preserve"> </w:t>
      </w:r>
      <w:proofErr w:type="gramStart"/>
      <w:r w:rsidRPr="00A60B01">
        <w:t>Non-Parish</w:t>
      </w:r>
      <w:proofErr w:type="gramEnd"/>
      <w:r w:rsidRPr="00A60B01">
        <w:t xml:space="preserve"> neighbourhood funding</w:t>
      </w:r>
      <w:r w:rsidR="00635413" w:rsidRPr="00A60B01">
        <w:t>.</w:t>
      </w:r>
      <w:r w:rsidR="0038148F" w:rsidRPr="00A60B01">
        <w:t xml:space="preserve"> </w:t>
      </w:r>
      <w:r w:rsidR="00635413" w:rsidRPr="00A60B01">
        <w:t>W</w:t>
      </w:r>
      <w:r w:rsidR="0038148F" w:rsidRPr="00A60B01">
        <w:t>here no suitable projects are identified the Neighbourhood po</w:t>
      </w:r>
      <w:r w:rsidR="00151D8D" w:rsidRPr="00A60B01">
        <w:t>r</w:t>
      </w:r>
      <w:r w:rsidR="0038148F" w:rsidRPr="00A60B01">
        <w:t>tion is carried over to the next financial year.</w:t>
      </w:r>
      <w:r w:rsidRPr="00A60B01">
        <w:t xml:space="preserve"> </w:t>
      </w:r>
      <w:r w:rsidR="00265CDE" w:rsidRPr="00A60B01">
        <w:t xml:space="preserve">Further information regarding the Neighbourhood portion of the CIL can be found on the Gedling Borough Council website at </w:t>
      </w:r>
      <w:hyperlink r:id="rId11" w:history="1">
        <w:r w:rsidR="00265CDE" w:rsidRPr="00A60B01">
          <w:rPr>
            <w:rStyle w:val="Hyperlink"/>
            <w:color w:val="auto"/>
          </w:rPr>
          <w:t>https://www.gedling.gov.uk/cil/</w:t>
        </w:r>
      </w:hyperlink>
      <w:r w:rsidR="00265CDE" w:rsidRPr="00A60B01">
        <w:t xml:space="preserve">. </w:t>
      </w:r>
    </w:p>
    <w:p w14:paraId="1391E832" w14:textId="6BCE116F" w:rsidR="0038148F" w:rsidRPr="00205BDF" w:rsidRDefault="0038148F" w:rsidP="00810EDF">
      <w:pPr>
        <w:spacing w:line="360" w:lineRule="auto"/>
        <w:contextualSpacing/>
        <w:jc w:val="both"/>
        <w:rPr>
          <w:b/>
          <w:bCs/>
          <w:color w:val="FF0000"/>
          <w:lang w:val="en"/>
        </w:rPr>
      </w:pPr>
    </w:p>
    <w:p w14:paraId="4C97B9D8" w14:textId="2791FB92" w:rsidR="000D776D" w:rsidRPr="00A60B01" w:rsidRDefault="000D776D" w:rsidP="00810EDF">
      <w:pPr>
        <w:spacing w:line="360" w:lineRule="auto"/>
        <w:jc w:val="both"/>
      </w:pPr>
      <w:r w:rsidRPr="00A60B01">
        <w:t>Gedling Borough has 1</w:t>
      </w:r>
      <w:r w:rsidR="00810EDF" w:rsidRPr="00A60B01">
        <w:t>1</w:t>
      </w:r>
      <w:r w:rsidRPr="00A60B01">
        <w:t xml:space="preserve"> Parishes where the Neighbourhood portion of CIL Receipts will be passed to the Parish Councils if developments take place in th</w:t>
      </w:r>
      <w:r w:rsidR="00883011" w:rsidRPr="00A60B01">
        <w:t>ose</w:t>
      </w:r>
      <w:r w:rsidRPr="00A60B01">
        <w:t xml:space="preserve"> areas. The Parishes cover the following areas:</w:t>
      </w:r>
    </w:p>
    <w:p w14:paraId="4E98BD33" w14:textId="77777777" w:rsidR="003E47AA" w:rsidRPr="00A60B01" w:rsidRDefault="003E47AA" w:rsidP="00810EDF">
      <w:pPr>
        <w:pStyle w:val="ListParagraph"/>
        <w:numPr>
          <w:ilvl w:val="0"/>
          <w:numId w:val="7"/>
        </w:numPr>
        <w:spacing w:line="360" w:lineRule="auto"/>
        <w:jc w:val="both"/>
        <w:sectPr w:rsidR="003E47AA" w:rsidRPr="00A60B01" w:rsidSect="0017715F">
          <w:footerReference w:type="default" r:id="rId12"/>
          <w:pgSz w:w="11906" w:h="16838"/>
          <w:pgMar w:top="1440" w:right="1440" w:bottom="1440" w:left="1440" w:header="708" w:footer="708" w:gutter="0"/>
          <w:cols w:space="708"/>
          <w:docGrid w:linePitch="360"/>
        </w:sectPr>
      </w:pPr>
    </w:p>
    <w:p w14:paraId="73C174DF" w14:textId="3FEBA7FF" w:rsidR="000D776D" w:rsidRPr="00A60B01" w:rsidRDefault="000D776D" w:rsidP="00810EDF">
      <w:pPr>
        <w:pStyle w:val="ListParagraph"/>
        <w:numPr>
          <w:ilvl w:val="0"/>
          <w:numId w:val="7"/>
        </w:numPr>
        <w:spacing w:line="360" w:lineRule="auto"/>
        <w:jc w:val="both"/>
      </w:pPr>
      <w:r w:rsidRPr="00A60B01">
        <w:lastRenderedPageBreak/>
        <w:t xml:space="preserve">Bestwood </w:t>
      </w:r>
      <w:proofErr w:type="gramStart"/>
      <w:r w:rsidRPr="00A60B01">
        <w:t>Village</w:t>
      </w:r>
      <w:r w:rsidR="00151D8D" w:rsidRPr="00A60B01">
        <w:t>;</w:t>
      </w:r>
      <w:proofErr w:type="gramEnd"/>
    </w:p>
    <w:p w14:paraId="5FAD944F" w14:textId="32D9F796" w:rsidR="000D776D" w:rsidRPr="00A60B01" w:rsidRDefault="000D776D" w:rsidP="00810EDF">
      <w:pPr>
        <w:pStyle w:val="ListParagraph"/>
        <w:numPr>
          <w:ilvl w:val="0"/>
          <w:numId w:val="7"/>
        </w:numPr>
        <w:spacing w:line="360" w:lineRule="auto"/>
        <w:jc w:val="both"/>
      </w:pPr>
      <w:r w:rsidRPr="00A60B01">
        <w:t xml:space="preserve">Burton </w:t>
      </w:r>
      <w:proofErr w:type="gramStart"/>
      <w:r w:rsidRPr="00A60B01">
        <w:t>Joyce</w:t>
      </w:r>
      <w:r w:rsidR="00151D8D" w:rsidRPr="00A60B01">
        <w:t>;</w:t>
      </w:r>
      <w:proofErr w:type="gramEnd"/>
    </w:p>
    <w:p w14:paraId="211F79EF" w14:textId="7AA705B3" w:rsidR="000D776D" w:rsidRPr="00A60B01" w:rsidRDefault="000D776D" w:rsidP="00810EDF">
      <w:pPr>
        <w:pStyle w:val="ListParagraph"/>
        <w:numPr>
          <w:ilvl w:val="0"/>
          <w:numId w:val="7"/>
        </w:numPr>
        <w:spacing w:line="360" w:lineRule="auto"/>
        <w:jc w:val="both"/>
      </w:pPr>
      <w:proofErr w:type="gramStart"/>
      <w:r w:rsidRPr="00A60B01">
        <w:t>Calverton</w:t>
      </w:r>
      <w:r w:rsidR="00151D8D" w:rsidRPr="00A60B01">
        <w:t>;</w:t>
      </w:r>
      <w:proofErr w:type="gramEnd"/>
    </w:p>
    <w:p w14:paraId="4F959A7E" w14:textId="56189F4B" w:rsidR="000D776D" w:rsidRPr="00A60B01" w:rsidRDefault="000D776D" w:rsidP="00810EDF">
      <w:pPr>
        <w:pStyle w:val="ListParagraph"/>
        <w:numPr>
          <w:ilvl w:val="0"/>
          <w:numId w:val="7"/>
        </w:numPr>
        <w:spacing w:line="360" w:lineRule="auto"/>
        <w:jc w:val="both"/>
      </w:pPr>
      <w:proofErr w:type="gramStart"/>
      <w:r w:rsidRPr="00A60B01">
        <w:t>Colwick</w:t>
      </w:r>
      <w:r w:rsidR="00151D8D" w:rsidRPr="00A60B01">
        <w:t>;</w:t>
      </w:r>
      <w:proofErr w:type="gramEnd"/>
    </w:p>
    <w:p w14:paraId="3954B75B" w14:textId="50A99AD6" w:rsidR="000D776D" w:rsidRPr="00A60B01" w:rsidRDefault="000D776D" w:rsidP="00810EDF">
      <w:pPr>
        <w:pStyle w:val="ListParagraph"/>
        <w:numPr>
          <w:ilvl w:val="0"/>
          <w:numId w:val="7"/>
        </w:numPr>
        <w:spacing w:line="360" w:lineRule="auto"/>
        <w:jc w:val="both"/>
      </w:pPr>
      <w:proofErr w:type="gramStart"/>
      <w:r w:rsidRPr="00A60B01">
        <w:t>Lambley</w:t>
      </w:r>
      <w:r w:rsidR="00151D8D" w:rsidRPr="00A60B01">
        <w:t>;</w:t>
      </w:r>
      <w:proofErr w:type="gramEnd"/>
    </w:p>
    <w:p w14:paraId="020AE0E6" w14:textId="6F4AC395" w:rsidR="000D776D" w:rsidRPr="00A60B01" w:rsidRDefault="000D776D" w:rsidP="00810EDF">
      <w:pPr>
        <w:pStyle w:val="ListParagraph"/>
        <w:numPr>
          <w:ilvl w:val="0"/>
          <w:numId w:val="7"/>
        </w:numPr>
        <w:spacing w:line="360" w:lineRule="auto"/>
        <w:jc w:val="both"/>
      </w:pPr>
      <w:proofErr w:type="gramStart"/>
      <w:r w:rsidRPr="00A60B01">
        <w:t>Linby</w:t>
      </w:r>
      <w:r w:rsidR="00151D8D" w:rsidRPr="00A60B01">
        <w:t>;</w:t>
      </w:r>
      <w:proofErr w:type="gramEnd"/>
    </w:p>
    <w:p w14:paraId="76628BED" w14:textId="73DAE076" w:rsidR="000D776D" w:rsidRPr="00A60B01" w:rsidRDefault="000D776D" w:rsidP="00810EDF">
      <w:pPr>
        <w:pStyle w:val="ListParagraph"/>
        <w:numPr>
          <w:ilvl w:val="0"/>
          <w:numId w:val="7"/>
        </w:numPr>
        <w:spacing w:line="360" w:lineRule="auto"/>
        <w:jc w:val="both"/>
      </w:pPr>
      <w:proofErr w:type="gramStart"/>
      <w:r w:rsidRPr="00A60B01">
        <w:t>Newstead</w:t>
      </w:r>
      <w:r w:rsidR="00151D8D" w:rsidRPr="00A60B01">
        <w:t>;</w:t>
      </w:r>
      <w:proofErr w:type="gramEnd"/>
    </w:p>
    <w:p w14:paraId="3D9F0207" w14:textId="54CF7373" w:rsidR="000D776D" w:rsidRPr="00A60B01" w:rsidRDefault="000D776D" w:rsidP="00810EDF">
      <w:pPr>
        <w:pStyle w:val="ListParagraph"/>
        <w:numPr>
          <w:ilvl w:val="0"/>
          <w:numId w:val="7"/>
        </w:numPr>
        <w:spacing w:line="360" w:lineRule="auto"/>
        <w:jc w:val="both"/>
      </w:pPr>
      <w:proofErr w:type="gramStart"/>
      <w:r w:rsidRPr="00A60B01">
        <w:t>Papplewick</w:t>
      </w:r>
      <w:r w:rsidR="00151D8D" w:rsidRPr="00A60B01">
        <w:t>;</w:t>
      </w:r>
      <w:proofErr w:type="gramEnd"/>
    </w:p>
    <w:p w14:paraId="181DABEC" w14:textId="12DF4265" w:rsidR="000D776D" w:rsidRPr="00A60B01" w:rsidRDefault="000D776D" w:rsidP="00810EDF">
      <w:pPr>
        <w:pStyle w:val="ListParagraph"/>
        <w:numPr>
          <w:ilvl w:val="0"/>
          <w:numId w:val="7"/>
        </w:numPr>
        <w:spacing w:line="360" w:lineRule="auto"/>
        <w:jc w:val="both"/>
      </w:pPr>
      <w:proofErr w:type="gramStart"/>
      <w:r w:rsidRPr="00A60B01">
        <w:t>Ravenshead</w:t>
      </w:r>
      <w:r w:rsidR="00151D8D" w:rsidRPr="00A60B01">
        <w:t>;</w:t>
      </w:r>
      <w:proofErr w:type="gramEnd"/>
    </w:p>
    <w:p w14:paraId="0DF986FC" w14:textId="69D7DD8D" w:rsidR="000D776D" w:rsidRPr="00A60B01" w:rsidRDefault="000D776D" w:rsidP="00810EDF">
      <w:pPr>
        <w:pStyle w:val="ListParagraph"/>
        <w:numPr>
          <w:ilvl w:val="0"/>
          <w:numId w:val="7"/>
        </w:numPr>
        <w:spacing w:line="360" w:lineRule="auto"/>
        <w:jc w:val="both"/>
      </w:pPr>
      <w:r w:rsidRPr="00A60B01">
        <w:t>St Albans</w:t>
      </w:r>
      <w:r w:rsidR="00810EDF" w:rsidRPr="00A60B01">
        <w:t xml:space="preserve">, </w:t>
      </w:r>
      <w:r w:rsidRPr="00A60B01">
        <w:t>and</w:t>
      </w:r>
    </w:p>
    <w:p w14:paraId="67A59158" w14:textId="4E924B6D" w:rsidR="00CB5DF4" w:rsidRPr="00A60B01" w:rsidRDefault="000D776D" w:rsidP="00810EDF">
      <w:pPr>
        <w:pStyle w:val="ListParagraph"/>
        <w:numPr>
          <w:ilvl w:val="0"/>
          <w:numId w:val="7"/>
        </w:numPr>
        <w:spacing w:line="360" w:lineRule="auto"/>
        <w:jc w:val="both"/>
      </w:pPr>
      <w:r w:rsidRPr="00A60B01">
        <w:t>Woodborough.</w:t>
      </w:r>
    </w:p>
    <w:p w14:paraId="78825525" w14:textId="77777777" w:rsidR="003E47AA" w:rsidRPr="00205BDF" w:rsidRDefault="003E47AA" w:rsidP="00810EDF">
      <w:pPr>
        <w:spacing w:line="360" w:lineRule="auto"/>
        <w:jc w:val="both"/>
        <w:rPr>
          <w:color w:val="FF0000"/>
          <w:szCs w:val="24"/>
        </w:rPr>
        <w:sectPr w:rsidR="003E47AA" w:rsidRPr="00205BDF" w:rsidSect="003E47AA">
          <w:type w:val="continuous"/>
          <w:pgSz w:w="11906" w:h="16838"/>
          <w:pgMar w:top="1440" w:right="1440" w:bottom="1440" w:left="1440" w:header="708" w:footer="708" w:gutter="0"/>
          <w:cols w:num="3" w:space="708"/>
          <w:docGrid w:linePitch="360"/>
        </w:sectPr>
      </w:pPr>
    </w:p>
    <w:p w14:paraId="796B9762" w14:textId="549F2604" w:rsidR="002A2B21" w:rsidRPr="00A60B01" w:rsidRDefault="00883011" w:rsidP="00810EDF">
      <w:pPr>
        <w:spacing w:line="360" w:lineRule="auto"/>
        <w:jc w:val="both"/>
        <w:rPr>
          <w:szCs w:val="24"/>
        </w:rPr>
      </w:pPr>
      <w:r w:rsidRPr="00A60B01">
        <w:rPr>
          <w:szCs w:val="24"/>
        </w:rPr>
        <w:t>In accordance with the</w:t>
      </w:r>
      <w:r w:rsidR="002A2B21" w:rsidRPr="00A60B01">
        <w:rPr>
          <w:szCs w:val="24"/>
        </w:rPr>
        <w:t xml:space="preserve"> </w:t>
      </w:r>
      <w:r w:rsidRPr="00A60B01">
        <w:t>Community Infrastructure Levy (Amendment) (England) (No. 2) Regulations 2019</w:t>
      </w:r>
      <w:r w:rsidR="00BC071E" w:rsidRPr="00A60B01">
        <w:rPr>
          <w:szCs w:val="24"/>
        </w:rPr>
        <w:t xml:space="preserve">, </w:t>
      </w:r>
      <w:r w:rsidR="00BC071E" w:rsidRPr="00A60B01">
        <w:rPr>
          <w:rFonts w:cs="Arial"/>
          <w:szCs w:val="24"/>
        </w:rPr>
        <w:t>Parish Councils must publish their own annual reports which detail funding</w:t>
      </w:r>
      <w:r w:rsidRPr="00A60B01">
        <w:rPr>
          <w:rFonts w:cs="Arial"/>
          <w:szCs w:val="24"/>
        </w:rPr>
        <w:t xml:space="preserve"> and expenditure </w:t>
      </w:r>
      <w:r w:rsidRPr="00A60B01">
        <w:rPr>
          <w:szCs w:val="24"/>
        </w:rPr>
        <w:t>f</w:t>
      </w:r>
      <w:r w:rsidRPr="00A60B01">
        <w:rPr>
          <w:rFonts w:cs="Arial"/>
          <w:szCs w:val="24"/>
        </w:rPr>
        <w:t>or each year where they have received monies passed down through the Neighbourhood Portion through CIL.</w:t>
      </w:r>
    </w:p>
    <w:p w14:paraId="64B1A752" w14:textId="6E6A9EE4" w:rsidR="000D776D" w:rsidRPr="00A60B01" w:rsidRDefault="00883011" w:rsidP="00810EDF">
      <w:pPr>
        <w:spacing w:line="360" w:lineRule="auto"/>
        <w:jc w:val="both"/>
      </w:pPr>
      <w:r w:rsidRPr="00A60B01">
        <w:t>It should be noted that t</w:t>
      </w:r>
      <w:r w:rsidR="000D776D" w:rsidRPr="00A60B01">
        <w:t>he</w:t>
      </w:r>
      <w:r w:rsidRPr="00A60B01">
        <w:t xml:space="preserve"> extent of the Parishes </w:t>
      </w:r>
      <w:r w:rsidR="000D776D" w:rsidRPr="00A60B01">
        <w:t>does not cover the majority of the urban area of Gedling Borough (with the exception of Colwick). This creates a gap in the coverage for the Neighbourhood portion in</w:t>
      </w:r>
      <w:r w:rsidR="002A653E" w:rsidRPr="00A60B01">
        <w:t xml:space="preserve"> the</w:t>
      </w:r>
      <w:r w:rsidR="00CB5DF4" w:rsidRPr="00A60B01">
        <w:t xml:space="preserve"> Borough. Whe</w:t>
      </w:r>
      <w:r w:rsidR="002A653E" w:rsidRPr="00A60B01">
        <w:t>n</w:t>
      </w:r>
      <w:r w:rsidR="00CB5DF4" w:rsidRPr="00A60B01">
        <w:t xml:space="preserve"> development takes place in this area Gedling Borough Council will determine, in consultation with its residents, how to expend this element of the CIL</w:t>
      </w:r>
      <w:r w:rsidRPr="00A60B01">
        <w:t xml:space="preserve"> in accordance with Regulation 59F of </w:t>
      </w:r>
      <w:r w:rsidRPr="00A60B01">
        <w:rPr>
          <w:szCs w:val="24"/>
        </w:rPr>
        <w:t xml:space="preserve">with the </w:t>
      </w:r>
      <w:r w:rsidRPr="00A60B01">
        <w:t>Community Infrastructure Levy (Amendment) (England) (No. 2) Regulations 2019</w:t>
      </w:r>
      <w:r w:rsidR="00CB5DF4" w:rsidRPr="00A60B01">
        <w:t>.</w:t>
      </w:r>
    </w:p>
    <w:p w14:paraId="6863AE9C" w14:textId="76074370" w:rsidR="005C06C5" w:rsidRPr="00A60B01" w:rsidRDefault="00965CA2" w:rsidP="00810EDF">
      <w:pPr>
        <w:spacing w:line="360" w:lineRule="auto"/>
        <w:contextualSpacing/>
        <w:jc w:val="both"/>
        <w:rPr>
          <w:lang w:val="en"/>
        </w:rPr>
      </w:pPr>
      <w:r w:rsidRPr="00A60B01">
        <w:rPr>
          <w:lang w:val="en"/>
        </w:rPr>
        <w:t xml:space="preserve">Below is a table </w:t>
      </w:r>
      <w:r w:rsidR="00EB63FE" w:rsidRPr="00A60B01">
        <w:rPr>
          <w:lang w:val="en"/>
        </w:rPr>
        <w:t xml:space="preserve">showing </w:t>
      </w:r>
      <w:r w:rsidRPr="00A60B01">
        <w:rPr>
          <w:lang w:val="en"/>
        </w:rPr>
        <w:t>the amount</w:t>
      </w:r>
      <w:r w:rsidR="00EB63FE" w:rsidRPr="00A60B01">
        <w:rPr>
          <w:lang w:val="en"/>
        </w:rPr>
        <w:t xml:space="preserve"> of CIL</w:t>
      </w:r>
      <w:r w:rsidRPr="00A60B01">
        <w:rPr>
          <w:lang w:val="en"/>
        </w:rPr>
        <w:t xml:space="preserve"> </w:t>
      </w:r>
      <w:r w:rsidR="003E47AA" w:rsidRPr="00A60B01">
        <w:rPr>
          <w:lang w:val="en"/>
        </w:rPr>
        <w:t xml:space="preserve">which has been </w:t>
      </w:r>
      <w:r w:rsidRPr="00A60B01">
        <w:rPr>
          <w:lang w:val="en"/>
        </w:rPr>
        <w:t xml:space="preserve">collected </w:t>
      </w:r>
      <w:r w:rsidR="003E47AA" w:rsidRPr="00A60B01">
        <w:rPr>
          <w:lang w:val="en"/>
        </w:rPr>
        <w:t xml:space="preserve">and </w:t>
      </w:r>
      <w:r w:rsidRPr="00A60B01">
        <w:rPr>
          <w:lang w:val="en"/>
        </w:rPr>
        <w:t xml:space="preserve">allocated towards the Non-Parish </w:t>
      </w:r>
      <w:r w:rsidR="00CA5422" w:rsidRPr="00A60B01">
        <w:rPr>
          <w:lang w:val="en"/>
        </w:rPr>
        <w:t>Neighbo</w:t>
      </w:r>
      <w:r w:rsidR="00151D8D" w:rsidRPr="00A60B01">
        <w:rPr>
          <w:lang w:val="en"/>
        </w:rPr>
        <w:t>u</w:t>
      </w:r>
      <w:r w:rsidR="00CA5422" w:rsidRPr="00A60B01">
        <w:rPr>
          <w:lang w:val="en"/>
        </w:rPr>
        <w:t>rhood</w:t>
      </w:r>
      <w:r w:rsidRPr="00A60B01">
        <w:rPr>
          <w:lang w:val="en"/>
        </w:rPr>
        <w:t xml:space="preserve"> </w:t>
      </w:r>
      <w:r w:rsidR="00EB63FE" w:rsidRPr="00A60B01">
        <w:rPr>
          <w:lang w:val="en"/>
        </w:rPr>
        <w:t>element</w:t>
      </w:r>
      <w:r w:rsidR="003E47AA" w:rsidRPr="00A60B01">
        <w:rPr>
          <w:lang w:val="en"/>
        </w:rPr>
        <w:t xml:space="preserve"> </w:t>
      </w:r>
      <w:r w:rsidR="003402C4" w:rsidRPr="00A60B01">
        <w:t>during the last financial year</w:t>
      </w:r>
      <w:r w:rsidR="005C06C5" w:rsidRPr="00A60B01">
        <w:rPr>
          <w:lang w:val="en"/>
        </w:rPr>
        <w:t xml:space="preserve">. </w:t>
      </w:r>
    </w:p>
    <w:tbl>
      <w:tblPr>
        <w:tblStyle w:val="TableGrid"/>
        <w:tblW w:w="9067" w:type="dxa"/>
        <w:tblLook w:val="04A0" w:firstRow="1" w:lastRow="0" w:firstColumn="1" w:lastColumn="0" w:noHBand="0" w:noVBand="1"/>
        <w:tblCaption w:val="Table 6. Non-Parish Neighbourhood CIL Collected (to the nearest £)"/>
        <w:tblDescription w:val="An annual breakdown of CIL Non-Parish Neighbourhood Receipts."/>
      </w:tblPr>
      <w:tblGrid>
        <w:gridCol w:w="4390"/>
        <w:gridCol w:w="4677"/>
      </w:tblGrid>
      <w:tr w:rsidR="00205BDF" w:rsidRPr="00205BDF" w14:paraId="163AAE8F" w14:textId="77777777" w:rsidTr="004D4B23">
        <w:trPr>
          <w:tblHeader/>
        </w:trPr>
        <w:tc>
          <w:tcPr>
            <w:tcW w:w="9067" w:type="dxa"/>
            <w:gridSpan w:val="2"/>
            <w:shd w:val="clear" w:color="auto" w:fill="000000" w:themeFill="text1"/>
          </w:tcPr>
          <w:p w14:paraId="45778BCA" w14:textId="0A8373A8" w:rsidR="005C06C5" w:rsidRPr="00205BDF" w:rsidRDefault="005C06C5" w:rsidP="003E47AA">
            <w:pPr>
              <w:spacing w:line="360" w:lineRule="auto"/>
              <w:rPr>
                <w:b/>
                <w:bCs/>
                <w:color w:val="FF0000"/>
              </w:rPr>
            </w:pPr>
            <w:r w:rsidRPr="00A60B01">
              <w:rPr>
                <w:b/>
                <w:bCs/>
              </w:rPr>
              <w:t xml:space="preserve">Table </w:t>
            </w:r>
            <w:r w:rsidR="003E47AA" w:rsidRPr="00A60B01">
              <w:rPr>
                <w:b/>
                <w:bCs/>
              </w:rPr>
              <w:t>6</w:t>
            </w:r>
            <w:r w:rsidRPr="00A60B01">
              <w:rPr>
                <w:b/>
                <w:bCs/>
              </w:rPr>
              <w:t>. Non-Parish Neighbourhood CIL Collected</w:t>
            </w:r>
            <w:r w:rsidR="00895202" w:rsidRPr="00A60B01">
              <w:rPr>
                <w:b/>
                <w:bCs/>
              </w:rPr>
              <w:t xml:space="preserve"> (to the nearest £)</w:t>
            </w:r>
          </w:p>
        </w:tc>
      </w:tr>
      <w:tr w:rsidR="00205BDF" w:rsidRPr="00205BDF" w14:paraId="74E626EA" w14:textId="77777777" w:rsidTr="0044563A">
        <w:tc>
          <w:tcPr>
            <w:tcW w:w="4390" w:type="dxa"/>
            <w:shd w:val="clear" w:color="auto" w:fill="D9D9D9" w:themeFill="background1" w:themeFillShade="D9"/>
          </w:tcPr>
          <w:p w14:paraId="6447662F" w14:textId="77777777" w:rsidR="005C06C5" w:rsidRPr="009D1F10" w:rsidRDefault="005C06C5" w:rsidP="00BC071E">
            <w:pPr>
              <w:spacing w:line="360" w:lineRule="auto"/>
              <w:rPr>
                <w:b/>
              </w:rPr>
            </w:pPr>
            <w:r w:rsidRPr="009D1F10">
              <w:rPr>
                <w:b/>
              </w:rPr>
              <w:t>Year</w:t>
            </w:r>
          </w:p>
        </w:tc>
        <w:tc>
          <w:tcPr>
            <w:tcW w:w="4677" w:type="dxa"/>
            <w:shd w:val="clear" w:color="auto" w:fill="D9D9D9" w:themeFill="background1" w:themeFillShade="D9"/>
          </w:tcPr>
          <w:p w14:paraId="222808CB" w14:textId="7052C285" w:rsidR="005C06C5" w:rsidRPr="009D1F10" w:rsidRDefault="00895202" w:rsidP="00BC071E">
            <w:pPr>
              <w:spacing w:line="360" w:lineRule="auto"/>
              <w:rPr>
                <w:b/>
              </w:rPr>
            </w:pPr>
            <w:r w:rsidRPr="009D1F10">
              <w:rPr>
                <w:b/>
              </w:rPr>
              <w:t>Income</w:t>
            </w:r>
          </w:p>
        </w:tc>
      </w:tr>
      <w:tr w:rsidR="00205BDF" w:rsidRPr="00205BDF" w14:paraId="67664D5A" w14:textId="77777777" w:rsidTr="00BC071E">
        <w:tc>
          <w:tcPr>
            <w:tcW w:w="4390" w:type="dxa"/>
          </w:tcPr>
          <w:p w14:paraId="3C6FD0AD" w14:textId="77777777" w:rsidR="005C06C5" w:rsidRPr="009D1F10" w:rsidRDefault="005C06C5" w:rsidP="00BC071E">
            <w:pPr>
              <w:spacing w:line="360" w:lineRule="auto"/>
            </w:pPr>
            <w:r w:rsidRPr="009D1F10">
              <w:t>2015/16</w:t>
            </w:r>
          </w:p>
        </w:tc>
        <w:tc>
          <w:tcPr>
            <w:tcW w:w="4677" w:type="dxa"/>
          </w:tcPr>
          <w:p w14:paraId="28A54574" w14:textId="5608988C" w:rsidR="005C06C5" w:rsidRPr="009D1F10" w:rsidRDefault="00CA5422" w:rsidP="00BC071E">
            <w:pPr>
              <w:spacing w:line="360" w:lineRule="auto"/>
              <w:rPr>
                <w:bCs/>
              </w:rPr>
            </w:pPr>
            <w:r w:rsidRPr="009D1F10">
              <w:rPr>
                <w:bCs/>
              </w:rPr>
              <w:t>£0</w:t>
            </w:r>
          </w:p>
        </w:tc>
      </w:tr>
      <w:tr w:rsidR="00205BDF" w:rsidRPr="00205BDF" w14:paraId="0EAF6585" w14:textId="77777777" w:rsidTr="0044563A">
        <w:tc>
          <w:tcPr>
            <w:tcW w:w="4390" w:type="dxa"/>
            <w:shd w:val="clear" w:color="auto" w:fill="D9D9D9" w:themeFill="background1" w:themeFillShade="D9"/>
          </w:tcPr>
          <w:p w14:paraId="5AB26A35" w14:textId="77777777" w:rsidR="005C06C5" w:rsidRPr="009D1F10" w:rsidRDefault="005C06C5" w:rsidP="00BC071E">
            <w:pPr>
              <w:spacing w:line="360" w:lineRule="auto"/>
            </w:pPr>
            <w:r w:rsidRPr="009D1F10">
              <w:t>2016/17</w:t>
            </w:r>
          </w:p>
        </w:tc>
        <w:tc>
          <w:tcPr>
            <w:tcW w:w="4677" w:type="dxa"/>
            <w:shd w:val="clear" w:color="auto" w:fill="D9D9D9" w:themeFill="background1" w:themeFillShade="D9"/>
          </w:tcPr>
          <w:p w14:paraId="09A15E68" w14:textId="5D27FE43" w:rsidR="005C06C5" w:rsidRPr="009D1F10" w:rsidRDefault="00CA5422" w:rsidP="00BC071E">
            <w:pPr>
              <w:spacing w:line="360" w:lineRule="auto"/>
              <w:rPr>
                <w:bCs/>
              </w:rPr>
            </w:pPr>
            <w:r w:rsidRPr="009D1F10">
              <w:rPr>
                <w:bCs/>
              </w:rPr>
              <w:t>£2,476</w:t>
            </w:r>
          </w:p>
        </w:tc>
      </w:tr>
      <w:tr w:rsidR="00205BDF" w:rsidRPr="00205BDF" w14:paraId="4D2B3D9B" w14:textId="77777777" w:rsidTr="00BC071E">
        <w:tc>
          <w:tcPr>
            <w:tcW w:w="4390" w:type="dxa"/>
          </w:tcPr>
          <w:p w14:paraId="79D65975" w14:textId="77777777" w:rsidR="005C06C5" w:rsidRPr="009D1F10" w:rsidRDefault="005C06C5" w:rsidP="00BC071E">
            <w:pPr>
              <w:spacing w:line="360" w:lineRule="auto"/>
            </w:pPr>
            <w:r w:rsidRPr="009D1F10">
              <w:t>2017/18</w:t>
            </w:r>
          </w:p>
        </w:tc>
        <w:tc>
          <w:tcPr>
            <w:tcW w:w="4677" w:type="dxa"/>
          </w:tcPr>
          <w:p w14:paraId="2F32DBE9" w14:textId="793C5C71" w:rsidR="005C06C5" w:rsidRPr="009D1F10" w:rsidRDefault="00CA5422" w:rsidP="00BC071E">
            <w:pPr>
              <w:spacing w:line="360" w:lineRule="auto"/>
              <w:rPr>
                <w:bCs/>
              </w:rPr>
            </w:pPr>
            <w:r w:rsidRPr="009D1F10">
              <w:rPr>
                <w:bCs/>
              </w:rPr>
              <w:t>£50,397</w:t>
            </w:r>
          </w:p>
        </w:tc>
      </w:tr>
      <w:tr w:rsidR="00205BDF" w:rsidRPr="00205BDF" w14:paraId="0D6741D1" w14:textId="77777777" w:rsidTr="0044563A">
        <w:tc>
          <w:tcPr>
            <w:tcW w:w="4390" w:type="dxa"/>
            <w:shd w:val="clear" w:color="auto" w:fill="D9D9D9" w:themeFill="background1" w:themeFillShade="D9"/>
          </w:tcPr>
          <w:p w14:paraId="0EE7337C" w14:textId="77777777" w:rsidR="005C06C5" w:rsidRPr="009D1F10" w:rsidRDefault="005C06C5" w:rsidP="00BC071E">
            <w:pPr>
              <w:spacing w:line="360" w:lineRule="auto"/>
            </w:pPr>
            <w:r w:rsidRPr="009D1F10">
              <w:t>2018/19</w:t>
            </w:r>
          </w:p>
        </w:tc>
        <w:tc>
          <w:tcPr>
            <w:tcW w:w="4677" w:type="dxa"/>
            <w:shd w:val="clear" w:color="auto" w:fill="D9D9D9" w:themeFill="background1" w:themeFillShade="D9"/>
          </w:tcPr>
          <w:p w14:paraId="56AEDD29" w14:textId="08D434CE" w:rsidR="005C06C5" w:rsidRPr="009D1F10" w:rsidRDefault="00CA5422" w:rsidP="00BC071E">
            <w:pPr>
              <w:spacing w:line="360" w:lineRule="auto"/>
              <w:rPr>
                <w:bCs/>
              </w:rPr>
            </w:pPr>
            <w:r w:rsidRPr="009D1F10">
              <w:rPr>
                <w:bCs/>
              </w:rPr>
              <w:t>£91,344</w:t>
            </w:r>
          </w:p>
        </w:tc>
      </w:tr>
      <w:tr w:rsidR="00205BDF" w:rsidRPr="00205BDF" w14:paraId="34A3C241" w14:textId="77777777" w:rsidTr="00BC071E">
        <w:tc>
          <w:tcPr>
            <w:tcW w:w="4390" w:type="dxa"/>
          </w:tcPr>
          <w:p w14:paraId="4D54B32F" w14:textId="77777777" w:rsidR="005C06C5" w:rsidRPr="009D1F10" w:rsidRDefault="005C06C5" w:rsidP="00BC071E">
            <w:pPr>
              <w:spacing w:line="360" w:lineRule="auto"/>
            </w:pPr>
            <w:r w:rsidRPr="009D1F10">
              <w:t>2019/20</w:t>
            </w:r>
          </w:p>
        </w:tc>
        <w:tc>
          <w:tcPr>
            <w:tcW w:w="4677" w:type="dxa"/>
          </w:tcPr>
          <w:p w14:paraId="456AFE1F" w14:textId="4B25416A" w:rsidR="005C06C5" w:rsidRPr="009D1F10" w:rsidRDefault="00CA5422" w:rsidP="00BC071E">
            <w:pPr>
              <w:spacing w:line="360" w:lineRule="auto"/>
              <w:rPr>
                <w:bCs/>
              </w:rPr>
            </w:pPr>
            <w:r w:rsidRPr="009D1F10">
              <w:rPr>
                <w:bCs/>
              </w:rPr>
              <w:t>£46,423</w:t>
            </w:r>
          </w:p>
        </w:tc>
      </w:tr>
      <w:tr w:rsidR="00205BDF" w:rsidRPr="00205BDF" w14:paraId="53AAEF57" w14:textId="77777777" w:rsidTr="0044563A">
        <w:tc>
          <w:tcPr>
            <w:tcW w:w="4390" w:type="dxa"/>
            <w:shd w:val="clear" w:color="auto" w:fill="D9D9D9" w:themeFill="background1" w:themeFillShade="D9"/>
          </w:tcPr>
          <w:p w14:paraId="6420EFD3" w14:textId="0C0D0189" w:rsidR="0010187C" w:rsidRPr="009D1F10" w:rsidRDefault="0010187C" w:rsidP="00BC071E">
            <w:pPr>
              <w:spacing w:line="360" w:lineRule="auto"/>
            </w:pPr>
            <w:r w:rsidRPr="009D1F10">
              <w:t>2020/21</w:t>
            </w:r>
          </w:p>
        </w:tc>
        <w:tc>
          <w:tcPr>
            <w:tcW w:w="4677" w:type="dxa"/>
            <w:shd w:val="clear" w:color="auto" w:fill="D9D9D9" w:themeFill="background1" w:themeFillShade="D9"/>
          </w:tcPr>
          <w:p w14:paraId="5E9D4D4A" w14:textId="1F2CF145" w:rsidR="0010187C" w:rsidRPr="009D1F10" w:rsidRDefault="0010187C" w:rsidP="00BC071E">
            <w:pPr>
              <w:spacing w:line="360" w:lineRule="auto"/>
              <w:rPr>
                <w:bCs/>
              </w:rPr>
            </w:pPr>
            <w:r w:rsidRPr="009D1F10">
              <w:rPr>
                <w:bCs/>
              </w:rPr>
              <w:t>£50,957</w:t>
            </w:r>
          </w:p>
        </w:tc>
      </w:tr>
      <w:tr w:rsidR="00205BDF" w:rsidRPr="00205BDF" w14:paraId="6D2690E5" w14:textId="77777777" w:rsidTr="0010187C">
        <w:tc>
          <w:tcPr>
            <w:tcW w:w="4390" w:type="dxa"/>
            <w:shd w:val="clear" w:color="auto" w:fill="FFFFFF" w:themeFill="background1"/>
          </w:tcPr>
          <w:p w14:paraId="14CE9F31" w14:textId="3E7F0622" w:rsidR="00F23747" w:rsidRPr="009D1F10" w:rsidRDefault="00F23747" w:rsidP="00BC071E">
            <w:pPr>
              <w:spacing w:line="360" w:lineRule="auto"/>
            </w:pPr>
            <w:r w:rsidRPr="009D1F10">
              <w:t>2021/22</w:t>
            </w:r>
          </w:p>
        </w:tc>
        <w:tc>
          <w:tcPr>
            <w:tcW w:w="4677" w:type="dxa"/>
            <w:shd w:val="clear" w:color="auto" w:fill="FFFFFF" w:themeFill="background1"/>
          </w:tcPr>
          <w:p w14:paraId="55BDCB21" w14:textId="07D5BBFA" w:rsidR="00F23747" w:rsidRPr="009D1F10" w:rsidRDefault="00F23747" w:rsidP="00F23747">
            <w:pPr>
              <w:spacing w:line="360" w:lineRule="auto"/>
              <w:rPr>
                <w:bCs/>
              </w:rPr>
            </w:pPr>
            <w:r w:rsidRPr="009D1F10">
              <w:rPr>
                <w:bCs/>
              </w:rPr>
              <w:t>£249,963</w:t>
            </w:r>
          </w:p>
        </w:tc>
      </w:tr>
      <w:tr w:rsidR="009D1F10" w:rsidRPr="00205BDF" w14:paraId="4C19D51C" w14:textId="77777777" w:rsidTr="009D1F10">
        <w:tc>
          <w:tcPr>
            <w:tcW w:w="4390" w:type="dxa"/>
            <w:shd w:val="clear" w:color="auto" w:fill="D9D9D9" w:themeFill="background1" w:themeFillShade="D9"/>
          </w:tcPr>
          <w:p w14:paraId="23D0F018" w14:textId="43F1F352" w:rsidR="009D1F10" w:rsidRPr="009D1F10" w:rsidRDefault="009D1F10" w:rsidP="00BC071E">
            <w:pPr>
              <w:spacing w:line="360" w:lineRule="auto"/>
            </w:pPr>
            <w:r>
              <w:t>2022/23</w:t>
            </w:r>
          </w:p>
        </w:tc>
        <w:tc>
          <w:tcPr>
            <w:tcW w:w="4677" w:type="dxa"/>
            <w:shd w:val="clear" w:color="auto" w:fill="D9D9D9" w:themeFill="background1" w:themeFillShade="D9"/>
          </w:tcPr>
          <w:p w14:paraId="21978018" w14:textId="64F831BE" w:rsidR="009D1F10" w:rsidRPr="009D1F10" w:rsidRDefault="009D1F10" w:rsidP="00F23747">
            <w:pPr>
              <w:spacing w:line="360" w:lineRule="auto"/>
              <w:rPr>
                <w:bCs/>
              </w:rPr>
            </w:pPr>
            <w:r>
              <w:rPr>
                <w:bCs/>
              </w:rPr>
              <w:t>£102,111</w:t>
            </w:r>
          </w:p>
        </w:tc>
      </w:tr>
      <w:tr w:rsidR="00205BDF" w:rsidRPr="00205BDF" w14:paraId="3DBC6E74" w14:textId="77777777" w:rsidTr="009D1F10">
        <w:tc>
          <w:tcPr>
            <w:tcW w:w="4390" w:type="dxa"/>
            <w:shd w:val="clear" w:color="auto" w:fill="FFFFFF" w:themeFill="background1"/>
          </w:tcPr>
          <w:p w14:paraId="0EEA770E" w14:textId="0927B749" w:rsidR="002755B0" w:rsidRPr="009D1F10" w:rsidRDefault="002755B0" w:rsidP="00BC071E">
            <w:pPr>
              <w:spacing w:line="360" w:lineRule="auto"/>
              <w:rPr>
                <w:b/>
              </w:rPr>
            </w:pPr>
            <w:r w:rsidRPr="009D1F10">
              <w:rPr>
                <w:b/>
              </w:rPr>
              <w:t>Total</w:t>
            </w:r>
          </w:p>
        </w:tc>
        <w:tc>
          <w:tcPr>
            <w:tcW w:w="4677" w:type="dxa"/>
            <w:shd w:val="clear" w:color="auto" w:fill="FFFFFF" w:themeFill="background1"/>
          </w:tcPr>
          <w:p w14:paraId="53E61B91" w14:textId="2762DB92" w:rsidR="002755B0" w:rsidRPr="009D1F10" w:rsidRDefault="002755B0" w:rsidP="00F23747">
            <w:pPr>
              <w:spacing w:line="360" w:lineRule="auto"/>
              <w:rPr>
                <w:b/>
                <w:bCs/>
              </w:rPr>
            </w:pPr>
            <w:r w:rsidRPr="009D1F10">
              <w:rPr>
                <w:b/>
                <w:bCs/>
              </w:rPr>
              <w:t>£</w:t>
            </w:r>
            <w:r w:rsidR="009D1F10">
              <w:rPr>
                <w:b/>
                <w:bCs/>
              </w:rPr>
              <w:t>593,671</w:t>
            </w:r>
          </w:p>
        </w:tc>
      </w:tr>
    </w:tbl>
    <w:p w14:paraId="760A9265" w14:textId="77777777" w:rsidR="005C06C5" w:rsidRPr="00205BDF" w:rsidRDefault="005C06C5" w:rsidP="0038148F">
      <w:pPr>
        <w:spacing w:line="360" w:lineRule="auto"/>
        <w:contextualSpacing/>
        <w:jc w:val="both"/>
        <w:rPr>
          <w:color w:val="FF0000"/>
          <w:lang w:val="en"/>
        </w:rPr>
      </w:pPr>
    </w:p>
    <w:p w14:paraId="78089D7D" w14:textId="7A96B73D" w:rsidR="00501E1A" w:rsidRPr="009D1F10" w:rsidRDefault="00E16B8F" w:rsidP="00E16B8F">
      <w:pPr>
        <w:spacing w:line="360" w:lineRule="auto"/>
        <w:contextualSpacing/>
        <w:jc w:val="both"/>
        <w:rPr>
          <w:lang w:val="en"/>
        </w:rPr>
      </w:pPr>
      <w:r w:rsidRPr="009D1F10">
        <w:rPr>
          <w:lang w:val="en"/>
        </w:rPr>
        <w:t>To date Gedling Borough Council have awarded</w:t>
      </w:r>
      <w:r w:rsidR="00116F9D" w:rsidRPr="009D1F10">
        <w:rPr>
          <w:lang w:val="en"/>
        </w:rPr>
        <w:t xml:space="preserve"> a total of £317,260</w:t>
      </w:r>
      <w:r w:rsidR="00A976BD" w:rsidRPr="009D1F10">
        <w:rPr>
          <w:lang w:val="en"/>
        </w:rPr>
        <w:t xml:space="preserve"> through the Non-Parish Neighborhood portion, </w:t>
      </w:r>
      <w:r w:rsidRPr="009D1F10">
        <w:rPr>
          <w:lang w:val="en"/>
        </w:rPr>
        <w:t xml:space="preserve">to </w:t>
      </w:r>
      <w:r w:rsidR="00F23747" w:rsidRPr="009D1F10">
        <w:rPr>
          <w:lang w:val="en"/>
        </w:rPr>
        <w:t>seven</w:t>
      </w:r>
      <w:r w:rsidRPr="009D1F10">
        <w:rPr>
          <w:lang w:val="en"/>
        </w:rPr>
        <w:t xml:space="preserve"> </w:t>
      </w:r>
      <w:r w:rsidR="00F23747" w:rsidRPr="009D1F10">
        <w:rPr>
          <w:lang w:val="en"/>
        </w:rPr>
        <w:t xml:space="preserve">different </w:t>
      </w:r>
      <w:r w:rsidRPr="009D1F10">
        <w:rPr>
          <w:lang w:val="en"/>
        </w:rPr>
        <w:t xml:space="preserve">infrastructure </w:t>
      </w:r>
      <w:r w:rsidR="00F23747" w:rsidRPr="009D1F10">
        <w:rPr>
          <w:lang w:val="en"/>
        </w:rPr>
        <w:t>projects</w:t>
      </w:r>
      <w:r w:rsidRPr="009D1F10">
        <w:rPr>
          <w:lang w:val="en"/>
        </w:rPr>
        <w:t xml:space="preserve">. </w:t>
      </w:r>
      <w:r w:rsidR="00F23747" w:rsidRPr="009D1F10">
        <w:rPr>
          <w:lang w:val="en"/>
        </w:rPr>
        <w:t>Table 7 below provides a summary of these projects</w:t>
      </w:r>
      <w:r w:rsidR="00501E1A" w:rsidRPr="009D1F10">
        <w:rPr>
          <w:lang w:val="en"/>
        </w:rPr>
        <w:t xml:space="preserve">. </w:t>
      </w:r>
      <w:r w:rsidR="00A976BD" w:rsidRPr="009D1F10">
        <w:rPr>
          <w:lang w:val="en"/>
        </w:rPr>
        <w:t>The</w:t>
      </w:r>
      <w:r w:rsidR="00501E1A" w:rsidRPr="009D1F10">
        <w:rPr>
          <w:lang w:val="en"/>
        </w:rPr>
        <w:t xml:space="preserve"> projects can be found in</w:t>
      </w:r>
      <w:r w:rsidR="00F23747" w:rsidRPr="009D1F10">
        <w:rPr>
          <w:lang w:val="en"/>
        </w:rPr>
        <w:t xml:space="preserve"> </w:t>
      </w:r>
      <w:r w:rsidR="00A976BD" w:rsidRPr="009D1F10">
        <w:rPr>
          <w:lang w:val="en"/>
        </w:rPr>
        <w:t xml:space="preserve">greater detail in </w:t>
      </w:r>
      <w:r w:rsidR="00501E1A" w:rsidRPr="009D1F10">
        <w:rPr>
          <w:lang w:val="en"/>
        </w:rPr>
        <w:lastRenderedPageBreak/>
        <w:t>the relevant annual Infrastructure Funding Statement</w:t>
      </w:r>
      <w:r w:rsidR="00444A7C" w:rsidRPr="009D1F10">
        <w:rPr>
          <w:lang w:val="en"/>
        </w:rPr>
        <w:t>s</w:t>
      </w:r>
      <w:r w:rsidR="00501E1A" w:rsidRPr="009D1F10">
        <w:rPr>
          <w:lang w:val="en"/>
        </w:rPr>
        <w:t xml:space="preserve"> </w:t>
      </w:r>
      <w:r w:rsidR="00A976BD" w:rsidRPr="009D1F10">
        <w:rPr>
          <w:lang w:val="en"/>
        </w:rPr>
        <w:t xml:space="preserve">which are </w:t>
      </w:r>
      <w:r w:rsidR="00501E1A" w:rsidRPr="009D1F10">
        <w:rPr>
          <w:lang w:val="en"/>
        </w:rPr>
        <w:t>available on the Gedling Borough Council website.</w:t>
      </w:r>
    </w:p>
    <w:tbl>
      <w:tblPr>
        <w:tblStyle w:val="TableGrid"/>
        <w:tblW w:w="9067" w:type="dxa"/>
        <w:tblLook w:val="04A0" w:firstRow="1" w:lastRow="0" w:firstColumn="1" w:lastColumn="0" w:noHBand="0" w:noVBand="1"/>
        <w:tblCaption w:val="Table 7. Summary of Non-Parish Neighbourhood CIL Awards  "/>
        <w:tblDescription w:val="A detailed breakdown of Non-Parish CIL Awards."/>
      </w:tblPr>
      <w:tblGrid>
        <w:gridCol w:w="4957"/>
        <w:gridCol w:w="1559"/>
        <w:gridCol w:w="2551"/>
      </w:tblGrid>
      <w:tr w:rsidR="00205BDF" w:rsidRPr="00205BDF" w14:paraId="31258720" w14:textId="77777777" w:rsidTr="004D4B23">
        <w:trPr>
          <w:tblHeader/>
        </w:trPr>
        <w:tc>
          <w:tcPr>
            <w:tcW w:w="9067" w:type="dxa"/>
            <w:gridSpan w:val="3"/>
            <w:shd w:val="clear" w:color="auto" w:fill="000000" w:themeFill="text1"/>
          </w:tcPr>
          <w:p w14:paraId="18633644" w14:textId="7CFF7AA4" w:rsidR="00501E1A" w:rsidRPr="00205BDF" w:rsidRDefault="00501E1A" w:rsidP="00501E1A">
            <w:pPr>
              <w:spacing w:line="360" w:lineRule="auto"/>
              <w:rPr>
                <w:b/>
                <w:bCs/>
                <w:color w:val="FF0000"/>
              </w:rPr>
            </w:pPr>
            <w:r w:rsidRPr="00A60B01">
              <w:rPr>
                <w:b/>
                <w:bCs/>
              </w:rPr>
              <w:t xml:space="preserve">Table 7. Summary of Non-Parish Neighbourhood CIL Awards  </w:t>
            </w:r>
          </w:p>
        </w:tc>
      </w:tr>
      <w:tr w:rsidR="00205BDF" w:rsidRPr="00205BDF" w14:paraId="1869B22A" w14:textId="77777777" w:rsidTr="00444A7C">
        <w:tc>
          <w:tcPr>
            <w:tcW w:w="4957" w:type="dxa"/>
            <w:shd w:val="clear" w:color="auto" w:fill="D9D9D9" w:themeFill="background1" w:themeFillShade="D9"/>
          </w:tcPr>
          <w:p w14:paraId="398B9E9B" w14:textId="52E19350" w:rsidR="00501E1A" w:rsidRPr="009D1F10" w:rsidRDefault="00501E1A" w:rsidP="003A1D66">
            <w:pPr>
              <w:spacing w:line="360" w:lineRule="auto"/>
              <w:rPr>
                <w:b/>
                <w:bCs/>
              </w:rPr>
            </w:pPr>
            <w:r w:rsidRPr="009D1F10">
              <w:rPr>
                <w:b/>
                <w:bCs/>
              </w:rPr>
              <w:t>Project</w:t>
            </w:r>
          </w:p>
        </w:tc>
        <w:tc>
          <w:tcPr>
            <w:tcW w:w="1559" w:type="dxa"/>
            <w:shd w:val="clear" w:color="auto" w:fill="D9D9D9" w:themeFill="background1" w:themeFillShade="D9"/>
          </w:tcPr>
          <w:p w14:paraId="3C50816B" w14:textId="07018D3E" w:rsidR="00501E1A" w:rsidRPr="009D1F10" w:rsidRDefault="00501E1A" w:rsidP="003A1D66">
            <w:pPr>
              <w:spacing w:line="360" w:lineRule="auto"/>
              <w:rPr>
                <w:b/>
                <w:bCs/>
              </w:rPr>
            </w:pPr>
            <w:r w:rsidRPr="009D1F10">
              <w:rPr>
                <w:b/>
                <w:bCs/>
              </w:rPr>
              <w:t>Award</w:t>
            </w:r>
          </w:p>
        </w:tc>
        <w:tc>
          <w:tcPr>
            <w:tcW w:w="2551" w:type="dxa"/>
            <w:shd w:val="clear" w:color="auto" w:fill="D9D9D9" w:themeFill="background1" w:themeFillShade="D9"/>
          </w:tcPr>
          <w:p w14:paraId="7781A8EE" w14:textId="4412AE47" w:rsidR="00501E1A" w:rsidRPr="009D1F10" w:rsidRDefault="00501E1A" w:rsidP="00444A7C">
            <w:pPr>
              <w:spacing w:line="360" w:lineRule="auto"/>
              <w:rPr>
                <w:b/>
                <w:bCs/>
              </w:rPr>
            </w:pPr>
            <w:r w:rsidRPr="009D1F10">
              <w:rPr>
                <w:b/>
                <w:bCs/>
              </w:rPr>
              <w:t>Year</w:t>
            </w:r>
            <w:r w:rsidR="00444A7C" w:rsidRPr="009D1F10">
              <w:rPr>
                <w:b/>
                <w:bCs/>
              </w:rPr>
              <w:t xml:space="preserve"> of Submission</w:t>
            </w:r>
          </w:p>
        </w:tc>
      </w:tr>
      <w:tr w:rsidR="00205BDF" w:rsidRPr="00205BDF" w14:paraId="20ED3E87" w14:textId="77777777" w:rsidTr="00444A7C">
        <w:tc>
          <w:tcPr>
            <w:tcW w:w="4957" w:type="dxa"/>
          </w:tcPr>
          <w:p w14:paraId="29E4AC42" w14:textId="4960DCAF" w:rsidR="00501E1A" w:rsidRPr="009D1F10" w:rsidRDefault="00501E1A" w:rsidP="00A976BD">
            <w:pPr>
              <w:spacing w:line="360" w:lineRule="auto"/>
              <w:rPr>
                <w:bCs/>
              </w:rPr>
            </w:pPr>
            <w:r w:rsidRPr="009D1F10">
              <w:rPr>
                <w:rFonts w:cs="Arial"/>
                <w:szCs w:val="24"/>
              </w:rPr>
              <w:t>Cinderpath Lighting</w:t>
            </w:r>
          </w:p>
        </w:tc>
        <w:tc>
          <w:tcPr>
            <w:tcW w:w="1559" w:type="dxa"/>
          </w:tcPr>
          <w:p w14:paraId="44B11FE4" w14:textId="75E279B3" w:rsidR="00501E1A" w:rsidRPr="009D1F10" w:rsidRDefault="00501E1A" w:rsidP="00A976BD">
            <w:pPr>
              <w:spacing w:line="360" w:lineRule="auto"/>
              <w:rPr>
                <w:bCs/>
              </w:rPr>
            </w:pPr>
            <w:r w:rsidRPr="009D1F10">
              <w:rPr>
                <w:rFonts w:cs="Arial"/>
                <w:szCs w:val="24"/>
              </w:rPr>
              <w:t>£3,500</w:t>
            </w:r>
          </w:p>
        </w:tc>
        <w:tc>
          <w:tcPr>
            <w:tcW w:w="2551" w:type="dxa"/>
          </w:tcPr>
          <w:p w14:paraId="5A214558" w14:textId="140B763B" w:rsidR="00501E1A" w:rsidRPr="009D1F10" w:rsidRDefault="00A976BD" w:rsidP="00A976BD">
            <w:pPr>
              <w:spacing w:line="360" w:lineRule="auto"/>
              <w:rPr>
                <w:bCs/>
              </w:rPr>
            </w:pPr>
            <w:r w:rsidRPr="009D1F10">
              <w:rPr>
                <w:bCs/>
              </w:rPr>
              <w:t>17/18</w:t>
            </w:r>
          </w:p>
        </w:tc>
      </w:tr>
      <w:tr w:rsidR="00205BDF" w:rsidRPr="00205BDF" w14:paraId="5D523D32" w14:textId="77777777" w:rsidTr="00444A7C">
        <w:tc>
          <w:tcPr>
            <w:tcW w:w="4957" w:type="dxa"/>
            <w:shd w:val="clear" w:color="auto" w:fill="D9D9D9" w:themeFill="background1" w:themeFillShade="D9"/>
          </w:tcPr>
          <w:p w14:paraId="42C17232" w14:textId="78EB99E8" w:rsidR="00501E1A" w:rsidRPr="009D1F10" w:rsidRDefault="00501E1A" w:rsidP="00A976BD">
            <w:pPr>
              <w:spacing w:line="360" w:lineRule="auto"/>
              <w:rPr>
                <w:rFonts w:cs="Arial"/>
                <w:szCs w:val="24"/>
              </w:rPr>
            </w:pPr>
            <w:r w:rsidRPr="009D1F10">
              <w:rPr>
                <w:rFonts w:cs="Arial"/>
                <w:szCs w:val="24"/>
              </w:rPr>
              <w:t>Car Park Extension at Gedling Country Park</w:t>
            </w:r>
          </w:p>
        </w:tc>
        <w:tc>
          <w:tcPr>
            <w:tcW w:w="1559" w:type="dxa"/>
            <w:shd w:val="clear" w:color="auto" w:fill="D9D9D9" w:themeFill="background1" w:themeFillShade="D9"/>
          </w:tcPr>
          <w:p w14:paraId="1246CF58" w14:textId="631E5747" w:rsidR="00501E1A" w:rsidRPr="009D1F10" w:rsidRDefault="00501E1A" w:rsidP="00A976BD">
            <w:pPr>
              <w:spacing w:line="360" w:lineRule="auto"/>
              <w:rPr>
                <w:rFonts w:cs="Arial"/>
                <w:szCs w:val="24"/>
              </w:rPr>
            </w:pPr>
            <w:r w:rsidRPr="009D1F10">
              <w:rPr>
                <w:rFonts w:cs="Arial"/>
                <w:szCs w:val="24"/>
              </w:rPr>
              <w:t>£100,000</w:t>
            </w:r>
          </w:p>
        </w:tc>
        <w:tc>
          <w:tcPr>
            <w:tcW w:w="2551" w:type="dxa"/>
            <w:shd w:val="clear" w:color="auto" w:fill="D9D9D9" w:themeFill="background1" w:themeFillShade="D9"/>
          </w:tcPr>
          <w:p w14:paraId="418D1B04" w14:textId="6B988A4D" w:rsidR="00501E1A" w:rsidRPr="009D1F10" w:rsidRDefault="00A976BD" w:rsidP="00A976BD">
            <w:pPr>
              <w:spacing w:line="360" w:lineRule="auto"/>
              <w:rPr>
                <w:bCs/>
              </w:rPr>
            </w:pPr>
            <w:r w:rsidRPr="009D1F10">
              <w:rPr>
                <w:bCs/>
              </w:rPr>
              <w:t>18/19</w:t>
            </w:r>
          </w:p>
        </w:tc>
      </w:tr>
      <w:tr w:rsidR="00205BDF" w:rsidRPr="00205BDF" w14:paraId="047D23EE" w14:textId="77777777" w:rsidTr="00444A7C">
        <w:tc>
          <w:tcPr>
            <w:tcW w:w="4957" w:type="dxa"/>
          </w:tcPr>
          <w:p w14:paraId="438E869E" w14:textId="49993489" w:rsidR="00501E1A" w:rsidRPr="009D1F10" w:rsidRDefault="00501E1A" w:rsidP="00A976BD">
            <w:pPr>
              <w:spacing w:line="360" w:lineRule="auto"/>
              <w:rPr>
                <w:rFonts w:cs="Arial"/>
                <w:szCs w:val="24"/>
              </w:rPr>
            </w:pPr>
            <w:r w:rsidRPr="009D1F10">
              <w:rPr>
                <w:rFonts w:cs="Arial"/>
                <w:szCs w:val="24"/>
              </w:rPr>
              <w:t>Changing Room Facilities at Lambley Lane</w:t>
            </w:r>
          </w:p>
        </w:tc>
        <w:tc>
          <w:tcPr>
            <w:tcW w:w="1559" w:type="dxa"/>
          </w:tcPr>
          <w:p w14:paraId="4DCF372F" w14:textId="1AF9E058" w:rsidR="00501E1A" w:rsidRPr="009D1F10" w:rsidRDefault="00501E1A" w:rsidP="00A976BD">
            <w:pPr>
              <w:spacing w:line="360" w:lineRule="auto"/>
              <w:rPr>
                <w:rFonts w:cs="Arial"/>
                <w:szCs w:val="24"/>
              </w:rPr>
            </w:pPr>
            <w:r w:rsidRPr="009D1F10">
              <w:rPr>
                <w:rFonts w:cs="Arial"/>
                <w:szCs w:val="24"/>
              </w:rPr>
              <w:t>£40,000</w:t>
            </w:r>
          </w:p>
        </w:tc>
        <w:tc>
          <w:tcPr>
            <w:tcW w:w="2551" w:type="dxa"/>
          </w:tcPr>
          <w:p w14:paraId="2184F379" w14:textId="396FD169" w:rsidR="00501E1A" w:rsidRPr="009D1F10" w:rsidRDefault="00A976BD" w:rsidP="00A976BD">
            <w:pPr>
              <w:spacing w:line="360" w:lineRule="auto"/>
              <w:rPr>
                <w:bCs/>
              </w:rPr>
            </w:pPr>
            <w:r w:rsidRPr="009D1F10">
              <w:rPr>
                <w:bCs/>
              </w:rPr>
              <w:t>18/19</w:t>
            </w:r>
          </w:p>
        </w:tc>
      </w:tr>
      <w:tr w:rsidR="00205BDF" w:rsidRPr="00205BDF" w14:paraId="72A2FB8F" w14:textId="77777777" w:rsidTr="00444A7C">
        <w:tc>
          <w:tcPr>
            <w:tcW w:w="4957" w:type="dxa"/>
            <w:shd w:val="clear" w:color="auto" w:fill="D9D9D9" w:themeFill="background1" w:themeFillShade="D9"/>
          </w:tcPr>
          <w:p w14:paraId="324976D5" w14:textId="0E588664" w:rsidR="00501E1A" w:rsidRPr="009D1F10" w:rsidRDefault="00A976BD" w:rsidP="00A976BD">
            <w:pPr>
              <w:spacing w:line="360" w:lineRule="auto"/>
              <w:rPr>
                <w:rFonts w:cs="Arial"/>
                <w:szCs w:val="24"/>
              </w:rPr>
            </w:pPr>
            <w:r w:rsidRPr="009D1F10">
              <w:rPr>
                <w:rFonts w:cs="Arial"/>
                <w:szCs w:val="24"/>
              </w:rPr>
              <w:t>Green Lung Corridor</w:t>
            </w:r>
          </w:p>
        </w:tc>
        <w:tc>
          <w:tcPr>
            <w:tcW w:w="1559" w:type="dxa"/>
            <w:shd w:val="clear" w:color="auto" w:fill="D9D9D9" w:themeFill="background1" w:themeFillShade="D9"/>
          </w:tcPr>
          <w:p w14:paraId="4760A0AC" w14:textId="1D4114EB" w:rsidR="00501E1A" w:rsidRPr="009D1F10" w:rsidRDefault="00A976BD" w:rsidP="00A976BD">
            <w:pPr>
              <w:spacing w:line="360" w:lineRule="auto"/>
              <w:rPr>
                <w:rFonts w:cs="Arial"/>
                <w:szCs w:val="24"/>
              </w:rPr>
            </w:pPr>
            <w:r w:rsidRPr="009D1F10">
              <w:rPr>
                <w:rFonts w:cs="Arial"/>
                <w:szCs w:val="24"/>
              </w:rPr>
              <w:t>£50,000</w:t>
            </w:r>
          </w:p>
        </w:tc>
        <w:tc>
          <w:tcPr>
            <w:tcW w:w="2551" w:type="dxa"/>
            <w:shd w:val="clear" w:color="auto" w:fill="D9D9D9" w:themeFill="background1" w:themeFillShade="D9"/>
          </w:tcPr>
          <w:p w14:paraId="6100B169" w14:textId="21EB5406" w:rsidR="00501E1A" w:rsidRPr="009D1F10" w:rsidRDefault="00A976BD" w:rsidP="00A976BD">
            <w:pPr>
              <w:spacing w:line="360" w:lineRule="auto"/>
              <w:rPr>
                <w:bCs/>
              </w:rPr>
            </w:pPr>
            <w:r w:rsidRPr="009D1F10">
              <w:rPr>
                <w:bCs/>
              </w:rPr>
              <w:t>19/20</w:t>
            </w:r>
          </w:p>
        </w:tc>
      </w:tr>
      <w:tr w:rsidR="00205BDF" w:rsidRPr="00205BDF" w14:paraId="0D11CECE" w14:textId="77777777" w:rsidTr="00444A7C">
        <w:tc>
          <w:tcPr>
            <w:tcW w:w="4957" w:type="dxa"/>
          </w:tcPr>
          <w:p w14:paraId="0C0DA5E3" w14:textId="1301CD2E" w:rsidR="00501E1A" w:rsidRPr="009D1F10" w:rsidRDefault="00A976BD" w:rsidP="00A976BD">
            <w:pPr>
              <w:spacing w:line="360" w:lineRule="auto"/>
              <w:rPr>
                <w:rFonts w:cs="Arial"/>
                <w:szCs w:val="24"/>
              </w:rPr>
            </w:pPr>
            <w:r w:rsidRPr="009D1F10">
              <w:rPr>
                <w:rFonts w:cs="Arial"/>
                <w:szCs w:val="24"/>
              </w:rPr>
              <w:t>Arnold Marketplace Development</w:t>
            </w:r>
          </w:p>
        </w:tc>
        <w:tc>
          <w:tcPr>
            <w:tcW w:w="1559" w:type="dxa"/>
          </w:tcPr>
          <w:p w14:paraId="02A1AA85" w14:textId="6F486DAE" w:rsidR="00501E1A" w:rsidRPr="009D1F10" w:rsidRDefault="00A976BD" w:rsidP="00A976BD">
            <w:pPr>
              <w:spacing w:line="360" w:lineRule="auto"/>
              <w:rPr>
                <w:rFonts w:cs="Arial"/>
                <w:szCs w:val="24"/>
              </w:rPr>
            </w:pPr>
            <w:r w:rsidRPr="009D1F10">
              <w:rPr>
                <w:rFonts w:cs="Arial"/>
                <w:szCs w:val="24"/>
              </w:rPr>
              <w:t>£43,000</w:t>
            </w:r>
          </w:p>
        </w:tc>
        <w:tc>
          <w:tcPr>
            <w:tcW w:w="2551" w:type="dxa"/>
          </w:tcPr>
          <w:p w14:paraId="0F175483" w14:textId="27D6A253" w:rsidR="00501E1A" w:rsidRPr="009D1F10" w:rsidRDefault="00A976BD" w:rsidP="00A976BD">
            <w:pPr>
              <w:spacing w:line="360" w:lineRule="auto"/>
              <w:rPr>
                <w:bCs/>
              </w:rPr>
            </w:pPr>
            <w:r w:rsidRPr="009D1F10">
              <w:rPr>
                <w:bCs/>
              </w:rPr>
              <w:t>19/20</w:t>
            </w:r>
          </w:p>
        </w:tc>
      </w:tr>
      <w:tr w:rsidR="00205BDF" w:rsidRPr="00205BDF" w14:paraId="3E55B47B" w14:textId="77777777" w:rsidTr="00444A7C">
        <w:tc>
          <w:tcPr>
            <w:tcW w:w="4957" w:type="dxa"/>
            <w:shd w:val="clear" w:color="auto" w:fill="D9D9D9" w:themeFill="background1" w:themeFillShade="D9"/>
          </w:tcPr>
          <w:p w14:paraId="7A694CB3" w14:textId="61883CC6" w:rsidR="00A976BD" w:rsidRPr="009D1F10" w:rsidRDefault="00A976BD" w:rsidP="00A976BD">
            <w:pPr>
              <w:spacing w:line="360" w:lineRule="auto"/>
              <w:rPr>
                <w:rFonts w:cs="Arial"/>
                <w:szCs w:val="24"/>
              </w:rPr>
            </w:pPr>
            <w:r w:rsidRPr="009D1F10">
              <w:rPr>
                <w:rFonts w:cs="Arial"/>
                <w:szCs w:val="24"/>
              </w:rPr>
              <w:t>Footpath Extension at Willow Park</w:t>
            </w:r>
          </w:p>
        </w:tc>
        <w:tc>
          <w:tcPr>
            <w:tcW w:w="1559" w:type="dxa"/>
            <w:shd w:val="clear" w:color="auto" w:fill="D9D9D9" w:themeFill="background1" w:themeFillShade="D9"/>
          </w:tcPr>
          <w:p w14:paraId="34B06078" w14:textId="23A0CBE3" w:rsidR="00A976BD" w:rsidRPr="009D1F10" w:rsidRDefault="00A976BD" w:rsidP="00A976BD">
            <w:pPr>
              <w:spacing w:line="360" w:lineRule="auto"/>
              <w:rPr>
                <w:rFonts w:cs="Arial"/>
                <w:szCs w:val="24"/>
              </w:rPr>
            </w:pPr>
            <w:r w:rsidRPr="009D1F10">
              <w:rPr>
                <w:rFonts w:cs="Arial"/>
                <w:szCs w:val="24"/>
              </w:rPr>
              <w:t>£25,000</w:t>
            </w:r>
          </w:p>
        </w:tc>
        <w:tc>
          <w:tcPr>
            <w:tcW w:w="2551" w:type="dxa"/>
            <w:shd w:val="clear" w:color="auto" w:fill="D9D9D9" w:themeFill="background1" w:themeFillShade="D9"/>
          </w:tcPr>
          <w:p w14:paraId="6D71B5BB" w14:textId="4AA3EEF2" w:rsidR="00A976BD" w:rsidRPr="009D1F10" w:rsidRDefault="00A976BD" w:rsidP="00A976BD">
            <w:pPr>
              <w:spacing w:line="360" w:lineRule="auto"/>
              <w:rPr>
                <w:bCs/>
              </w:rPr>
            </w:pPr>
            <w:r w:rsidRPr="009D1F10">
              <w:rPr>
                <w:bCs/>
              </w:rPr>
              <w:t>20/21</w:t>
            </w:r>
          </w:p>
        </w:tc>
      </w:tr>
      <w:tr w:rsidR="00205BDF" w:rsidRPr="00205BDF" w14:paraId="384C54BC" w14:textId="77777777" w:rsidTr="00444A7C">
        <w:tc>
          <w:tcPr>
            <w:tcW w:w="4957" w:type="dxa"/>
          </w:tcPr>
          <w:p w14:paraId="608ACA8D" w14:textId="3A51B6DA" w:rsidR="00A976BD" w:rsidRPr="009D1F10" w:rsidRDefault="00A976BD" w:rsidP="00A976BD">
            <w:pPr>
              <w:spacing w:line="360" w:lineRule="auto"/>
              <w:rPr>
                <w:rFonts w:cs="Arial"/>
                <w:szCs w:val="24"/>
              </w:rPr>
            </w:pPr>
            <w:r w:rsidRPr="009D1F10">
              <w:rPr>
                <w:rFonts w:cs="Arial"/>
                <w:szCs w:val="24"/>
              </w:rPr>
              <w:t>Internal works and alterations at Netherfield Forum Children, Young People and Families Hub</w:t>
            </w:r>
          </w:p>
        </w:tc>
        <w:tc>
          <w:tcPr>
            <w:tcW w:w="1559" w:type="dxa"/>
          </w:tcPr>
          <w:p w14:paraId="47897C62" w14:textId="38C97912" w:rsidR="00A976BD" w:rsidRPr="009D1F10" w:rsidRDefault="00A976BD" w:rsidP="00A976BD">
            <w:pPr>
              <w:spacing w:line="360" w:lineRule="auto"/>
              <w:rPr>
                <w:rFonts w:cs="Arial"/>
                <w:szCs w:val="24"/>
              </w:rPr>
            </w:pPr>
            <w:r w:rsidRPr="009D1F10">
              <w:rPr>
                <w:rFonts w:cs="Arial"/>
                <w:szCs w:val="24"/>
              </w:rPr>
              <w:t>£55,760</w:t>
            </w:r>
          </w:p>
        </w:tc>
        <w:tc>
          <w:tcPr>
            <w:tcW w:w="2551" w:type="dxa"/>
          </w:tcPr>
          <w:p w14:paraId="00758A6E" w14:textId="7776D80D" w:rsidR="00A976BD" w:rsidRPr="009D1F10" w:rsidRDefault="00A976BD" w:rsidP="00A976BD">
            <w:pPr>
              <w:spacing w:line="360" w:lineRule="auto"/>
              <w:rPr>
                <w:bCs/>
              </w:rPr>
            </w:pPr>
            <w:r w:rsidRPr="009D1F10">
              <w:rPr>
                <w:bCs/>
              </w:rPr>
              <w:t>20/21</w:t>
            </w:r>
          </w:p>
        </w:tc>
      </w:tr>
    </w:tbl>
    <w:p w14:paraId="1B32B900" w14:textId="138EFFA3" w:rsidR="00635CF3" w:rsidRPr="00635CF3" w:rsidRDefault="00E16B8F" w:rsidP="00810EDF">
      <w:pPr>
        <w:spacing w:line="360" w:lineRule="auto"/>
        <w:contextualSpacing/>
        <w:jc w:val="both"/>
      </w:pPr>
      <w:r w:rsidRPr="00205BDF">
        <w:rPr>
          <w:color w:val="FF0000"/>
          <w:lang w:val="en"/>
        </w:rPr>
        <w:br/>
      </w:r>
      <w:r w:rsidR="00444A7C" w:rsidRPr="009D1F10">
        <w:t>At the end of the financial year 202</w:t>
      </w:r>
      <w:r w:rsidR="009D1F10" w:rsidRPr="009D1F10">
        <w:t>2</w:t>
      </w:r>
      <w:r w:rsidR="00444A7C" w:rsidRPr="009D1F10">
        <w:t>/2</w:t>
      </w:r>
      <w:r w:rsidR="009D1F10" w:rsidRPr="009D1F10">
        <w:t>3</w:t>
      </w:r>
      <w:r w:rsidR="00444A7C" w:rsidRPr="009D1F10">
        <w:t xml:space="preserve"> a total of £</w:t>
      </w:r>
      <w:r w:rsidR="009D1F10" w:rsidRPr="009D1F10">
        <w:t>276,411</w:t>
      </w:r>
      <w:r w:rsidR="00444A7C" w:rsidRPr="009D1F10">
        <w:t xml:space="preserve"> in CIL Receipts </w:t>
      </w:r>
      <w:r w:rsidR="00FE4ACD" w:rsidRPr="009D1F10">
        <w:t>w</w:t>
      </w:r>
      <w:r w:rsidR="009D1F10">
        <w:t>as</w:t>
      </w:r>
      <w:r w:rsidR="00FE4ACD" w:rsidRPr="009D1F10">
        <w:t xml:space="preserve"> retained by</w:t>
      </w:r>
      <w:r w:rsidR="00444A7C" w:rsidRPr="009D1F10">
        <w:t xml:space="preserve"> Gedling Borough Council for allocation towards the funding of future nominated projects. </w:t>
      </w:r>
      <w:r w:rsidR="009D1F10">
        <w:t xml:space="preserve">During 2022/23 a total of two projects were nominated and considered for Non-Parish Neighbourhood funding but were </w:t>
      </w:r>
      <w:r w:rsidR="009D1F10" w:rsidRPr="009D1F10">
        <w:rPr>
          <w:lang w:val="en"/>
        </w:rPr>
        <w:t xml:space="preserve">ultimately unsuccessful. </w:t>
      </w:r>
      <w:r w:rsidR="00377CCD">
        <w:rPr>
          <w:lang w:val="en"/>
        </w:rPr>
        <w:t xml:space="preserve">These projects were retained on the Local Infrastructure Schedule for re-consideration as part of the 2023/24 nominations when they may be more suitable for </w:t>
      </w:r>
      <w:r w:rsidR="00377CCD">
        <w:t>Non-Parish Neighbourhood funding awards.</w:t>
      </w:r>
      <w:r w:rsidR="00635CF3">
        <w:t xml:space="preserve"> Further information on these projects can be found by viewing the minutes of the relevant Cabinet Meeting on the </w:t>
      </w:r>
      <w:proofErr w:type="gramStart"/>
      <w:r w:rsidR="00635CF3">
        <w:t>7</w:t>
      </w:r>
      <w:r w:rsidR="00635CF3" w:rsidRPr="00635CF3">
        <w:rPr>
          <w:vertAlign w:val="superscript"/>
        </w:rPr>
        <w:t>th</w:t>
      </w:r>
      <w:proofErr w:type="gramEnd"/>
      <w:r w:rsidR="00635CF3">
        <w:t xml:space="preserve"> September 2023 which are publicly available on the Gedling Borough Council website.</w:t>
      </w:r>
    </w:p>
    <w:p w14:paraId="750665DD" w14:textId="77777777" w:rsidR="00444A7C" w:rsidRDefault="00444A7C" w:rsidP="00810EDF">
      <w:pPr>
        <w:spacing w:line="360" w:lineRule="auto"/>
        <w:contextualSpacing/>
        <w:jc w:val="both"/>
        <w:rPr>
          <w:color w:val="FF0000"/>
        </w:rPr>
      </w:pPr>
    </w:p>
    <w:p w14:paraId="59A78601" w14:textId="5B8560B1" w:rsidR="00965CA2" w:rsidRPr="00A60B01" w:rsidRDefault="00BC071E" w:rsidP="00810EDF">
      <w:pPr>
        <w:jc w:val="both"/>
        <w:rPr>
          <w:b/>
          <w:bCs/>
        </w:rPr>
      </w:pPr>
      <w:r w:rsidRPr="00A60B01">
        <w:rPr>
          <w:b/>
          <w:bCs/>
        </w:rPr>
        <w:t>2.2.3</w:t>
      </w:r>
      <w:r w:rsidRPr="00A60B01">
        <w:rPr>
          <w:b/>
          <w:bCs/>
        </w:rPr>
        <w:tab/>
        <w:t>CIL Administration Portion</w:t>
      </w:r>
    </w:p>
    <w:p w14:paraId="26F11D64" w14:textId="77777777" w:rsidR="00BC071E" w:rsidRPr="00A60B01" w:rsidRDefault="00BC071E" w:rsidP="00810EDF">
      <w:pPr>
        <w:spacing w:line="360" w:lineRule="auto"/>
        <w:jc w:val="both"/>
      </w:pPr>
      <w:r w:rsidRPr="00A60B01">
        <w:t>The remaining 5% of monies collected through CIL Receipts is made available for Charging Authorities to cover the administrative costs associated with implementing and enforcing the CIL.</w:t>
      </w:r>
    </w:p>
    <w:p w14:paraId="7E06CB1D" w14:textId="52D65E7A" w:rsidR="001564FF" w:rsidRDefault="002755B0" w:rsidP="00810EDF">
      <w:pPr>
        <w:spacing w:line="360" w:lineRule="auto"/>
        <w:jc w:val="both"/>
      </w:pPr>
      <w:r w:rsidRPr="00635CF3">
        <w:t>To date a total of £</w:t>
      </w:r>
      <w:r w:rsidR="00635CF3" w:rsidRPr="00635CF3">
        <w:t xml:space="preserve">348,983 </w:t>
      </w:r>
      <w:r w:rsidR="00BC071E" w:rsidRPr="00635CF3">
        <w:t xml:space="preserve">has been collected towards covering the costs of </w:t>
      </w:r>
      <w:r w:rsidRPr="00635CF3">
        <w:t>operating</w:t>
      </w:r>
      <w:r w:rsidR="00BC071E" w:rsidRPr="00635CF3">
        <w:t xml:space="preserve"> the CIL within Gedling Borough Council. Table</w:t>
      </w:r>
      <w:r w:rsidR="00521007" w:rsidRPr="00635CF3">
        <w:t xml:space="preserve"> </w:t>
      </w:r>
      <w:r w:rsidR="00992685" w:rsidRPr="00635CF3">
        <w:t>8</w:t>
      </w:r>
      <w:r w:rsidR="00521007" w:rsidRPr="00635CF3">
        <w:t xml:space="preserve"> below shows a breakdown of the annual receipts collected towards this portion of the CIL.</w:t>
      </w:r>
      <w:r w:rsidR="00B5343C" w:rsidRPr="00635CF3">
        <w:t xml:space="preserve"> </w:t>
      </w:r>
    </w:p>
    <w:p w14:paraId="0E5FC842" w14:textId="77777777" w:rsidR="00716103" w:rsidRPr="00635CF3" w:rsidRDefault="00716103" w:rsidP="00810EDF">
      <w:pPr>
        <w:spacing w:line="360" w:lineRule="auto"/>
        <w:jc w:val="both"/>
      </w:pPr>
    </w:p>
    <w:tbl>
      <w:tblPr>
        <w:tblStyle w:val="TableGrid"/>
        <w:tblW w:w="9067" w:type="dxa"/>
        <w:tblLook w:val="04A0" w:firstRow="1" w:lastRow="0" w:firstColumn="1" w:lastColumn="0" w:noHBand="0" w:noVBand="1"/>
        <w:tblCaption w:val="Table 8. Administration CIL Collected (to the nearest £)"/>
        <w:tblDescription w:val="An annual breakdown of CIL Receipts collected towards administration costs of operating the CIL."/>
      </w:tblPr>
      <w:tblGrid>
        <w:gridCol w:w="4390"/>
        <w:gridCol w:w="4677"/>
      </w:tblGrid>
      <w:tr w:rsidR="00205BDF" w:rsidRPr="00205BDF" w14:paraId="56DEB0F8" w14:textId="77777777" w:rsidTr="004D4B23">
        <w:trPr>
          <w:tblHeader/>
        </w:trPr>
        <w:tc>
          <w:tcPr>
            <w:tcW w:w="9067" w:type="dxa"/>
            <w:gridSpan w:val="2"/>
            <w:shd w:val="clear" w:color="auto" w:fill="000000" w:themeFill="text1"/>
          </w:tcPr>
          <w:p w14:paraId="74F42FE7" w14:textId="50CEE72B" w:rsidR="00BC071E" w:rsidRPr="00A60B01" w:rsidRDefault="00BC071E" w:rsidP="00291CDF">
            <w:pPr>
              <w:spacing w:line="360" w:lineRule="auto"/>
              <w:rPr>
                <w:b/>
                <w:bCs/>
              </w:rPr>
            </w:pPr>
            <w:r w:rsidRPr="00A60B01">
              <w:rPr>
                <w:b/>
                <w:bCs/>
              </w:rPr>
              <w:lastRenderedPageBreak/>
              <w:t xml:space="preserve">Table </w:t>
            </w:r>
            <w:r w:rsidR="00291CDF" w:rsidRPr="00A60B01">
              <w:rPr>
                <w:b/>
                <w:bCs/>
              </w:rPr>
              <w:t>8</w:t>
            </w:r>
            <w:r w:rsidRPr="00A60B01">
              <w:rPr>
                <w:b/>
                <w:bCs/>
              </w:rPr>
              <w:t xml:space="preserve">. Administration CIL </w:t>
            </w:r>
            <w:r w:rsidR="00521007" w:rsidRPr="00A60B01">
              <w:rPr>
                <w:b/>
                <w:bCs/>
              </w:rPr>
              <w:t>Collected</w:t>
            </w:r>
            <w:r w:rsidR="00895202" w:rsidRPr="00A60B01">
              <w:rPr>
                <w:b/>
                <w:bCs/>
              </w:rPr>
              <w:t xml:space="preserve"> (to the nearest £)</w:t>
            </w:r>
          </w:p>
        </w:tc>
      </w:tr>
      <w:tr w:rsidR="00205BDF" w:rsidRPr="00205BDF" w14:paraId="5B21B2B0" w14:textId="77777777" w:rsidTr="0044563A">
        <w:tc>
          <w:tcPr>
            <w:tcW w:w="4390" w:type="dxa"/>
            <w:shd w:val="clear" w:color="auto" w:fill="D9D9D9" w:themeFill="background1" w:themeFillShade="D9"/>
          </w:tcPr>
          <w:p w14:paraId="38380445" w14:textId="77777777" w:rsidR="00BC071E" w:rsidRPr="00635CF3" w:rsidRDefault="00BC071E" w:rsidP="00BC071E">
            <w:pPr>
              <w:spacing w:line="360" w:lineRule="auto"/>
              <w:rPr>
                <w:b/>
              </w:rPr>
            </w:pPr>
            <w:r w:rsidRPr="00635CF3">
              <w:rPr>
                <w:b/>
              </w:rPr>
              <w:t>Year</w:t>
            </w:r>
          </w:p>
        </w:tc>
        <w:tc>
          <w:tcPr>
            <w:tcW w:w="4677" w:type="dxa"/>
            <w:shd w:val="clear" w:color="auto" w:fill="D9D9D9" w:themeFill="background1" w:themeFillShade="D9"/>
          </w:tcPr>
          <w:p w14:paraId="58088D4D" w14:textId="5FCEBCE0" w:rsidR="00BC071E" w:rsidRPr="00635CF3" w:rsidRDefault="00895202" w:rsidP="00BC071E">
            <w:pPr>
              <w:spacing w:line="360" w:lineRule="auto"/>
              <w:rPr>
                <w:b/>
              </w:rPr>
            </w:pPr>
            <w:r w:rsidRPr="00635CF3">
              <w:rPr>
                <w:b/>
              </w:rPr>
              <w:t>Income</w:t>
            </w:r>
          </w:p>
        </w:tc>
      </w:tr>
      <w:tr w:rsidR="00205BDF" w:rsidRPr="00205BDF" w14:paraId="22D346DF" w14:textId="77777777" w:rsidTr="00BC071E">
        <w:tc>
          <w:tcPr>
            <w:tcW w:w="4390" w:type="dxa"/>
          </w:tcPr>
          <w:p w14:paraId="36D10379" w14:textId="77777777" w:rsidR="00BC071E" w:rsidRPr="00635CF3" w:rsidRDefault="00BC071E" w:rsidP="00BC071E">
            <w:pPr>
              <w:spacing w:line="360" w:lineRule="auto"/>
            </w:pPr>
            <w:r w:rsidRPr="00635CF3">
              <w:t>2015/16</w:t>
            </w:r>
          </w:p>
        </w:tc>
        <w:tc>
          <w:tcPr>
            <w:tcW w:w="4677" w:type="dxa"/>
          </w:tcPr>
          <w:p w14:paraId="0B7F0443" w14:textId="66C0B881" w:rsidR="00BC071E" w:rsidRPr="00635CF3" w:rsidRDefault="002755B0" w:rsidP="00BC071E">
            <w:pPr>
              <w:spacing w:line="360" w:lineRule="auto"/>
              <w:rPr>
                <w:bCs/>
              </w:rPr>
            </w:pPr>
            <w:r w:rsidRPr="00635CF3">
              <w:rPr>
                <w:bCs/>
              </w:rPr>
              <w:t>£0</w:t>
            </w:r>
          </w:p>
        </w:tc>
      </w:tr>
      <w:tr w:rsidR="00205BDF" w:rsidRPr="00205BDF" w14:paraId="7D3F85A8" w14:textId="77777777" w:rsidTr="0044563A">
        <w:tc>
          <w:tcPr>
            <w:tcW w:w="4390" w:type="dxa"/>
            <w:shd w:val="clear" w:color="auto" w:fill="D9D9D9" w:themeFill="background1" w:themeFillShade="D9"/>
          </w:tcPr>
          <w:p w14:paraId="1E52AC42" w14:textId="77777777" w:rsidR="00BC071E" w:rsidRPr="00635CF3" w:rsidRDefault="00BC071E" w:rsidP="00BC071E">
            <w:pPr>
              <w:spacing w:line="360" w:lineRule="auto"/>
            </w:pPr>
            <w:r w:rsidRPr="00635CF3">
              <w:t>2016/17</w:t>
            </w:r>
          </w:p>
        </w:tc>
        <w:tc>
          <w:tcPr>
            <w:tcW w:w="4677" w:type="dxa"/>
            <w:shd w:val="clear" w:color="auto" w:fill="D9D9D9" w:themeFill="background1" w:themeFillShade="D9"/>
          </w:tcPr>
          <w:p w14:paraId="64A7323F" w14:textId="4E840AE1" w:rsidR="00BC071E" w:rsidRPr="00635CF3" w:rsidRDefault="00895202" w:rsidP="00BC071E">
            <w:pPr>
              <w:spacing w:line="360" w:lineRule="auto"/>
              <w:rPr>
                <w:bCs/>
              </w:rPr>
            </w:pPr>
            <w:r w:rsidRPr="00635CF3">
              <w:rPr>
                <w:bCs/>
              </w:rPr>
              <w:t>£2,106</w:t>
            </w:r>
          </w:p>
        </w:tc>
      </w:tr>
      <w:tr w:rsidR="00205BDF" w:rsidRPr="00205BDF" w14:paraId="3248A10F" w14:textId="77777777" w:rsidTr="00BC071E">
        <w:tc>
          <w:tcPr>
            <w:tcW w:w="4390" w:type="dxa"/>
          </w:tcPr>
          <w:p w14:paraId="08F77805" w14:textId="77777777" w:rsidR="00BC071E" w:rsidRPr="00635CF3" w:rsidRDefault="00BC071E" w:rsidP="00BC071E">
            <w:pPr>
              <w:spacing w:line="360" w:lineRule="auto"/>
            </w:pPr>
            <w:r w:rsidRPr="00635CF3">
              <w:t>2017/18</w:t>
            </w:r>
          </w:p>
        </w:tc>
        <w:tc>
          <w:tcPr>
            <w:tcW w:w="4677" w:type="dxa"/>
          </w:tcPr>
          <w:p w14:paraId="18C40035" w14:textId="3DBA21FA" w:rsidR="00BC071E" w:rsidRPr="00635CF3" w:rsidRDefault="002755B0" w:rsidP="00BC071E">
            <w:pPr>
              <w:spacing w:line="360" w:lineRule="auto"/>
              <w:rPr>
                <w:bCs/>
              </w:rPr>
            </w:pPr>
            <w:r w:rsidRPr="00635CF3">
              <w:rPr>
                <w:bCs/>
              </w:rPr>
              <w:t>£20,861</w:t>
            </w:r>
          </w:p>
        </w:tc>
      </w:tr>
      <w:tr w:rsidR="00205BDF" w:rsidRPr="00205BDF" w14:paraId="7AD03150" w14:textId="77777777" w:rsidTr="0044563A">
        <w:tc>
          <w:tcPr>
            <w:tcW w:w="4390" w:type="dxa"/>
            <w:shd w:val="clear" w:color="auto" w:fill="D9D9D9" w:themeFill="background1" w:themeFillShade="D9"/>
          </w:tcPr>
          <w:p w14:paraId="275791F2" w14:textId="77777777" w:rsidR="00BC071E" w:rsidRPr="00635CF3" w:rsidRDefault="00BC071E" w:rsidP="00BC071E">
            <w:pPr>
              <w:spacing w:line="360" w:lineRule="auto"/>
            </w:pPr>
            <w:r w:rsidRPr="00635CF3">
              <w:t>2018/19</w:t>
            </w:r>
          </w:p>
        </w:tc>
        <w:tc>
          <w:tcPr>
            <w:tcW w:w="4677" w:type="dxa"/>
            <w:shd w:val="clear" w:color="auto" w:fill="D9D9D9" w:themeFill="background1" w:themeFillShade="D9"/>
          </w:tcPr>
          <w:p w14:paraId="6586AE0E" w14:textId="53D367D9" w:rsidR="00BC071E" w:rsidRPr="00635CF3" w:rsidRDefault="002755B0" w:rsidP="00BC071E">
            <w:pPr>
              <w:spacing w:line="360" w:lineRule="auto"/>
              <w:rPr>
                <w:bCs/>
              </w:rPr>
            </w:pPr>
            <w:r w:rsidRPr="00635CF3">
              <w:rPr>
                <w:bCs/>
              </w:rPr>
              <w:t>£33,134</w:t>
            </w:r>
          </w:p>
        </w:tc>
      </w:tr>
      <w:tr w:rsidR="00205BDF" w:rsidRPr="00205BDF" w14:paraId="24F706AF" w14:textId="77777777" w:rsidTr="00BC071E">
        <w:tc>
          <w:tcPr>
            <w:tcW w:w="4390" w:type="dxa"/>
          </w:tcPr>
          <w:p w14:paraId="2000CF4A" w14:textId="77777777" w:rsidR="00BC071E" w:rsidRPr="00635CF3" w:rsidRDefault="00BC071E" w:rsidP="00BC071E">
            <w:pPr>
              <w:spacing w:line="360" w:lineRule="auto"/>
            </w:pPr>
            <w:r w:rsidRPr="00635CF3">
              <w:t>2019/20</w:t>
            </w:r>
          </w:p>
        </w:tc>
        <w:tc>
          <w:tcPr>
            <w:tcW w:w="4677" w:type="dxa"/>
          </w:tcPr>
          <w:p w14:paraId="5A1CFBDC" w14:textId="499E5FC9" w:rsidR="00BC071E" w:rsidRPr="00635CF3" w:rsidRDefault="002755B0" w:rsidP="00BC071E">
            <w:pPr>
              <w:spacing w:line="360" w:lineRule="auto"/>
              <w:rPr>
                <w:bCs/>
              </w:rPr>
            </w:pPr>
            <w:r w:rsidRPr="00635CF3">
              <w:rPr>
                <w:bCs/>
              </w:rPr>
              <w:t>£21,176</w:t>
            </w:r>
          </w:p>
        </w:tc>
      </w:tr>
      <w:tr w:rsidR="00205BDF" w:rsidRPr="00205BDF" w14:paraId="184BDD02" w14:textId="77777777" w:rsidTr="0044563A">
        <w:tc>
          <w:tcPr>
            <w:tcW w:w="4390" w:type="dxa"/>
            <w:shd w:val="clear" w:color="auto" w:fill="D9D9D9" w:themeFill="background1" w:themeFillShade="D9"/>
          </w:tcPr>
          <w:p w14:paraId="3CAA0911" w14:textId="6AF0C547" w:rsidR="0010187C" w:rsidRPr="00635CF3" w:rsidRDefault="0010187C" w:rsidP="00BC071E">
            <w:pPr>
              <w:spacing w:line="360" w:lineRule="auto"/>
            </w:pPr>
            <w:r w:rsidRPr="00635CF3">
              <w:t>2020/21</w:t>
            </w:r>
          </w:p>
        </w:tc>
        <w:tc>
          <w:tcPr>
            <w:tcW w:w="4677" w:type="dxa"/>
            <w:shd w:val="clear" w:color="auto" w:fill="D9D9D9" w:themeFill="background1" w:themeFillShade="D9"/>
          </w:tcPr>
          <w:p w14:paraId="622AA013" w14:textId="4A396030" w:rsidR="0010187C" w:rsidRPr="00635CF3" w:rsidRDefault="0010187C" w:rsidP="00BC071E">
            <w:pPr>
              <w:spacing w:line="360" w:lineRule="auto"/>
              <w:rPr>
                <w:bCs/>
              </w:rPr>
            </w:pPr>
            <w:r w:rsidRPr="00635CF3">
              <w:rPr>
                <w:bCs/>
              </w:rPr>
              <w:t>£28,085</w:t>
            </w:r>
          </w:p>
        </w:tc>
      </w:tr>
      <w:tr w:rsidR="00205BDF" w:rsidRPr="00205BDF" w14:paraId="0DF3AA10" w14:textId="77777777" w:rsidTr="00B5343C">
        <w:tc>
          <w:tcPr>
            <w:tcW w:w="4390" w:type="dxa"/>
            <w:shd w:val="clear" w:color="auto" w:fill="FFFFFF" w:themeFill="background1"/>
          </w:tcPr>
          <w:p w14:paraId="50C48D42" w14:textId="6F16188E" w:rsidR="00B5343C" w:rsidRPr="00635CF3" w:rsidRDefault="00B5343C" w:rsidP="00BC071E">
            <w:pPr>
              <w:spacing w:line="360" w:lineRule="auto"/>
            </w:pPr>
            <w:r w:rsidRPr="00635CF3">
              <w:t>2021/22</w:t>
            </w:r>
          </w:p>
        </w:tc>
        <w:tc>
          <w:tcPr>
            <w:tcW w:w="4677" w:type="dxa"/>
            <w:shd w:val="clear" w:color="auto" w:fill="FFFFFF" w:themeFill="background1"/>
          </w:tcPr>
          <w:p w14:paraId="1F6C0474" w14:textId="1FAAB66D" w:rsidR="00B5343C" w:rsidRPr="00635CF3" w:rsidRDefault="00B5343C" w:rsidP="00B5343C">
            <w:pPr>
              <w:spacing w:line="360" w:lineRule="auto"/>
              <w:rPr>
                <w:bCs/>
              </w:rPr>
            </w:pPr>
            <w:r w:rsidRPr="00635CF3">
              <w:rPr>
                <w:bCs/>
              </w:rPr>
              <w:t>£160,747</w:t>
            </w:r>
          </w:p>
        </w:tc>
      </w:tr>
      <w:tr w:rsidR="00635CF3" w:rsidRPr="00205BDF" w14:paraId="3EC05EBE" w14:textId="77777777" w:rsidTr="00635CF3">
        <w:tc>
          <w:tcPr>
            <w:tcW w:w="4390" w:type="dxa"/>
            <w:shd w:val="clear" w:color="auto" w:fill="D9D9D9" w:themeFill="background1" w:themeFillShade="D9"/>
          </w:tcPr>
          <w:p w14:paraId="4FF9CF0B" w14:textId="0CC3767E" w:rsidR="00635CF3" w:rsidRPr="00635CF3" w:rsidRDefault="00635CF3" w:rsidP="00BC071E">
            <w:pPr>
              <w:spacing w:line="360" w:lineRule="auto"/>
            </w:pPr>
            <w:r>
              <w:t>2022/23</w:t>
            </w:r>
          </w:p>
        </w:tc>
        <w:tc>
          <w:tcPr>
            <w:tcW w:w="4677" w:type="dxa"/>
            <w:shd w:val="clear" w:color="auto" w:fill="D9D9D9" w:themeFill="background1" w:themeFillShade="D9"/>
          </w:tcPr>
          <w:p w14:paraId="3D88A8CC" w14:textId="59C965EA" w:rsidR="00635CF3" w:rsidRPr="00635CF3" w:rsidRDefault="00635CF3" w:rsidP="00B5343C">
            <w:pPr>
              <w:spacing w:line="360" w:lineRule="auto"/>
              <w:rPr>
                <w:bCs/>
              </w:rPr>
            </w:pPr>
            <w:r>
              <w:rPr>
                <w:bCs/>
              </w:rPr>
              <w:t>£82,874</w:t>
            </w:r>
          </w:p>
        </w:tc>
      </w:tr>
      <w:tr w:rsidR="00205BDF" w:rsidRPr="00205BDF" w14:paraId="0976B271" w14:textId="77777777" w:rsidTr="00635CF3">
        <w:tc>
          <w:tcPr>
            <w:tcW w:w="4390" w:type="dxa"/>
            <w:shd w:val="clear" w:color="auto" w:fill="FFFFFF" w:themeFill="background1"/>
          </w:tcPr>
          <w:p w14:paraId="412BB084" w14:textId="6985F4DF" w:rsidR="002755B0" w:rsidRPr="00635CF3" w:rsidRDefault="002755B0" w:rsidP="00BC071E">
            <w:pPr>
              <w:spacing w:line="360" w:lineRule="auto"/>
              <w:rPr>
                <w:b/>
              </w:rPr>
            </w:pPr>
            <w:r w:rsidRPr="00635CF3">
              <w:rPr>
                <w:b/>
              </w:rPr>
              <w:t>Total</w:t>
            </w:r>
          </w:p>
        </w:tc>
        <w:tc>
          <w:tcPr>
            <w:tcW w:w="4677" w:type="dxa"/>
            <w:shd w:val="clear" w:color="auto" w:fill="FFFFFF" w:themeFill="background1"/>
          </w:tcPr>
          <w:p w14:paraId="441F8D26" w14:textId="55841A49" w:rsidR="002755B0" w:rsidRPr="00635CF3" w:rsidRDefault="002755B0" w:rsidP="00B5343C">
            <w:pPr>
              <w:spacing w:line="360" w:lineRule="auto"/>
              <w:rPr>
                <w:b/>
                <w:bCs/>
              </w:rPr>
            </w:pPr>
            <w:r w:rsidRPr="00635CF3">
              <w:rPr>
                <w:b/>
                <w:bCs/>
              </w:rPr>
              <w:t>£</w:t>
            </w:r>
            <w:r w:rsidR="00635CF3" w:rsidRPr="00635CF3">
              <w:rPr>
                <w:b/>
                <w:bCs/>
              </w:rPr>
              <w:t>348,983</w:t>
            </w:r>
          </w:p>
        </w:tc>
      </w:tr>
    </w:tbl>
    <w:p w14:paraId="75FC5B1E" w14:textId="4758E028" w:rsidR="003E47AA" w:rsidRPr="00205BDF" w:rsidRDefault="003E47AA" w:rsidP="00521007">
      <w:pPr>
        <w:rPr>
          <w:b/>
          <w:bCs/>
          <w:color w:val="FF0000"/>
        </w:rPr>
      </w:pPr>
    </w:p>
    <w:p w14:paraId="71403828" w14:textId="4A611AB8" w:rsidR="00521007" w:rsidRPr="00A60B01" w:rsidRDefault="00E0072E" w:rsidP="00810EDF">
      <w:pPr>
        <w:jc w:val="both"/>
        <w:rPr>
          <w:b/>
          <w:bCs/>
        </w:rPr>
      </w:pPr>
      <w:r w:rsidRPr="00A60B01">
        <w:rPr>
          <w:b/>
          <w:bCs/>
        </w:rPr>
        <w:t>3</w:t>
      </w:r>
      <w:r w:rsidR="00521007" w:rsidRPr="00A60B01">
        <w:rPr>
          <w:b/>
          <w:bCs/>
        </w:rPr>
        <w:tab/>
        <w:t>SECTION 106 OBLIGATIONS</w:t>
      </w:r>
    </w:p>
    <w:p w14:paraId="70BFE41D" w14:textId="64A59D63" w:rsidR="00992685" w:rsidRPr="00A60B01" w:rsidRDefault="00DB2F69" w:rsidP="00810EDF">
      <w:pPr>
        <w:spacing w:line="360" w:lineRule="auto"/>
        <w:jc w:val="both"/>
      </w:pPr>
      <w:r w:rsidRPr="00A60B01">
        <w:t>Gedling Borough Councils approach to planning obligations is set out within the Aligned Core Strategy</w:t>
      </w:r>
      <w:r w:rsidR="00C73A39" w:rsidRPr="00A60B01">
        <w:t xml:space="preserve"> 2014</w:t>
      </w:r>
      <w:r w:rsidRPr="00A60B01">
        <w:t xml:space="preserve"> (Part 1 Local Plan)</w:t>
      </w:r>
      <w:r w:rsidR="00C73A39" w:rsidRPr="00A60B01">
        <w:t>, the</w:t>
      </w:r>
      <w:r w:rsidRPr="00A60B01">
        <w:t xml:space="preserve"> Local Planning Document</w:t>
      </w:r>
      <w:r w:rsidR="00C73A39" w:rsidRPr="00A60B01">
        <w:t xml:space="preserve"> 2018</w:t>
      </w:r>
      <w:r w:rsidRPr="00A60B01">
        <w:t xml:space="preserve"> (Part 2 Local Plan)</w:t>
      </w:r>
      <w:r w:rsidR="00C73A39" w:rsidRPr="00A60B01">
        <w:t xml:space="preserve"> and Gedling Borough Councils Planning Obligations Protocol 2014</w:t>
      </w:r>
      <w:r w:rsidRPr="00A60B01">
        <w:t>. Priorities which should be considered when negotiating planning applications include factors such as Affordable Housing, Open Space, Education and Primary Healthcare.</w:t>
      </w:r>
    </w:p>
    <w:p w14:paraId="05587E5E" w14:textId="74E7C093" w:rsidR="00DB2F69" w:rsidRPr="00A60B01" w:rsidRDefault="007D7E31" w:rsidP="00810EDF">
      <w:pPr>
        <w:spacing w:line="360" w:lineRule="auto"/>
        <w:rPr>
          <w:b/>
          <w:bCs/>
        </w:rPr>
      </w:pPr>
      <w:r w:rsidRPr="00A60B01">
        <w:t>More</w:t>
      </w:r>
      <w:r w:rsidR="00DB2F69" w:rsidRPr="00A60B01">
        <w:t xml:space="preserve"> detailed guidance regarding how obligations are calculated can be found in </w:t>
      </w:r>
      <w:r w:rsidRPr="00A60B01">
        <w:t xml:space="preserve">Gedling Borough Councils </w:t>
      </w:r>
      <w:r w:rsidR="00835CF0" w:rsidRPr="00A60B01">
        <w:t xml:space="preserve">Supplementary Planning Documents and Guidance on the Gedling Borough Councils website at </w:t>
      </w:r>
      <w:hyperlink r:id="rId13" w:history="1">
        <w:r w:rsidR="00835CF0" w:rsidRPr="00A60B01">
          <w:rPr>
            <w:rStyle w:val="Hyperlink"/>
            <w:color w:val="auto"/>
          </w:rPr>
          <w:t>https://www.gedling.gov.uk/resident/planningandbuildingcontrol/planningpolicy/adoptedlocalplanandpolicydocuments/</w:t>
        </w:r>
      </w:hyperlink>
      <w:r w:rsidR="00835CF0" w:rsidRPr="00A60B01">
        <w:t>.</w:t>
      </w:r>
    </w:p>
    <w:p w14:paraId="6CBAAC1B" w14:textId="2C722843" w:rsidR="00F220D7" w:rsidRPr="00A60B01" w:rsidRDefault="00F259C4" w:rsidP="00810EDF">
      <w:pPr>
        <w:spacing w:line="360" w:lineRule="auto"/>
        <w:jc w:val="both"/>
        <w:rPr>
          <w:b/>
          <w:bCs/>
        </w:rPr>
      </w:pPr>
      <w:r w:rsidRPr="00A60B01">
        <w:rPr>
          <w:b/>
          <w:bCs/>
        </w:rPr>
        <w:t>3.1</w:t>
      </w:r>
      <w:r w:rsidRPr="00A60B01">
        <w:rPr>
          <w:b/>
          <w:bCs/>
        </w:rPr>
        <w:tab/>
      </w:r>
      <w:r w:rsidR="00F16BFA" w:rsidRPr="00A60B01">
        <w:rPr>
          <w:b/>
          <w:bCs/>
        </w:rPr>
        <w:t>New</w:t>
      </w:r>
      <w:r w:rsidRPr="00A60B01">
        <w:rPr>
          <w:b/>
          <w:bCs/>
        </w:rPr>
        <w:t xml:space="preserve"> Section 106 Agreements Signed</w:t>
      </w:r>
    </w:p>
    <w:p w14:paraId="7747DE2B" w14:textId="18459F1A" w:rsidR="001564FF" w:rsidRDefault="00047B68" w:rsidP="00810EDF">
      <w:pPr>
        <w:spacing w:line="360" w:lineRule="auto"/>
        <w:jc w:val="both"/>
      </w:pPr>
      <w:r w:rsidRPr="005D145D">
        <w:t xml:space="preserve">During the financial year </w:t>
      </w:r>
      <w:r w:rsidR="00992685" w:rsidRPr="005D145D">
        <w:t>20</w:t>
      </w:r>
      <w:r w:rsidRPr="005D145D">
        <w:t>2</w:t>
      </w:r>
      <w:r w:rsidR="000C1341" w:rsidRPr="005D145D">
        <w:t>2</w:t>
      </w:r>
      <w:r w:rsidRPr="005D145D">
        <w:t>/2</w:t>
      </w:r>
      <w:r w:rsidR="000C1341" w:rsidRPr="005D145D">
        <w:t>3</w:t>
      </w:r>
      <w:r w:rsidR="009270BB" w:rsidRPr="005D145D">
        <w:t xml:space="preserve"> t</w:t>
      </w:r>
      <w:r w:rsidR="00F16BFA" w:rsidRPr="005D145D">
        <w:t xml:space="preserve">here have been </w:t>
      </w:r>
      <w:r w:rsidR="00881F97" w:rsidRPr="005D145D">
        <w:t xml:space="preserve">a total of </w:t>
      </w:r>
      <w:r w:rsidR="005D145D" w:rsidRPr="005D145D">
        <w:t>8</w:t>
      </w:r>
      <w:r w:rsidR="00F16BFA" w:rsidRPr="005D145D">
        <w:t xml:space="preserve"> new</w:t>
      </w:r>
      <w:r w:rsidR="00760FF9" w:rsidRPr="005D145D">
        <w:t xml:space="preserve"> plannin</w:t>
      </w:r>
      <w:r w:rsidR="00F16BFA" w:rsidRPr="005D145D">
        <w:t xml:space="preserve">g permissions granted for </w:t>
      </w:r>
      <w:r w:rsidR="00760FF9" w:rsidRPr="005D145D">
        <w:t xml:space="preserve">developments which were subject to Section 106 Agreements. </w:t>
      </w:r>
      <w:r w:rsidR="005D145D" w:rsidRPr="005D145D">
        <w:t xml:space="preserve">Of these 3 were new Section 106 Agreements and 5 were Variations to pre-existing Agreements. </w:t>
      </w:r>
      <w:r w:rsidR="001564FF" w:rsidRPr="005D145D">
        <w:t xml:space="preserve">Table </w:t>
      </w:r>
      <w:r w:rsidR="000C062A" w:rsidRPr="005D145D">
        <w:t>9</w:t>
      </w:r>
      <w:r w:rsidR="001564FF" w:rsidRPr="005D145D">
        <w:t xml:space="preserve"> below provides a list of these developments.</w:t>
      </w:r>
    </w:p>
    <w:p w14:paraId="04E0F395" w14:textId="77777777" w:rsidR="00716103" w:rsidRPr="005D145D" w:rsidRDefault="00716103" w:rsidP="00810EDF">
      <w:pPr>
        <w:spacing w:line="360" w:lineRule="auto"/>
        <w:jc w:val="both"/>
      </w:pPr>
    </w:p>
    <w:tbl>
      <w:tblPr>
        <w:tblStyle w:val="TableGrid"/>
        <w:tblW w:w="0" w:type="auto"/>
        <w:tblLook w:val="04A0" w:firstRow="1" w:lastRow="0" w:firstColumn="1" w:lastColumn="0" w:noHBand="0" w:noVBand="1"/>
        <w:tblCaption w:val="Table 9. List of New Section 106 Agreements 2021/22 (to the nearest £)"/>
        <w:tblDescription w:val="A detailed breakdown of new Section 106 Agreements completed during the financial year 2021/22."/>
      </w:tblPr>
      <w:tblGrid>
        <w:gridCol w:w="1402"/>
        <w:gridCol w:w="2380"/>
        <w:gridCol w:w="5234"/>
      </w:tblGrid>
      <w:tr w:rsidR="00205BDF" w:rsidRPr="00205BDF" w14:paraId="69E20FF3" w14:textId="1D6F3B1C" w:rsidTr="004D4B23">
        <w:trPr>
          <w:tblHeader/>
        </w:trPr>
        <w:tc>
          <w:tcPr>
            <w:tcW w:w="9016" w:type="dxa"/>
            <w:gridSpan w:val="3"/>
            <w:shd w:val="clear" w:color="auto" w:fill="000000" w:themeFill="text1"/>
          </w:tcPr>
          <w:p w14:paraId="4F3B7025" w14:textId="40AD14F4" w:rsidR="006515A8" w:rsidRPr="00205BDF" w:rsidRDefault="006515A8" w:rsidP="00291CDF">
            <w:pPr>
              <w:spacing w:line="360" w:lineRule="auto"/>
              <w:rPr>
                <w:b/>
                <w:bCs/>
                <w:color w:val="FF0000"/>
              </w:rPr>
            </w:pPr>
            <w:r w:rsidRPr="00A60B01">
              <w:rPr>
                <w:b/>
                <w:bCs/>
              </w:rPr>
              <w:lastRenderedPageBreak/>
              <w:t xml:space="preserve">Table </w:t>
            </w:r>
            <w:r w:rsidR="00291CDF" w:rsidRPr="00A60B01">
              <w:rPr>
                <w:b/>
                <w:bCs/>
              </w:rPr>
              <w:t>9</w:t>
            </w:r>
            <w:r w:rsidRPr="00A60B01">
              <w:rPr>
                <w:b/>
                <w:bCs/>
              </w:rPr>
              <w:t>. List of New Section 106 Agreements</w:t>
            </w:r>
            <w:r w:rsidR="009270BB" w:rsidRPr="00A60B01">
              <w:rPr>
                <w:b/>
                <w:bCs/>
              </w:rPr>
              <w:t xml:space="preserve"> </w:t>
            </w:r>
            <w:r w:rsidR="00992685" w:rsidRPr="00A60B01">
              <w:rPr>
                <w:b/>
                <w:bCs/>
              </w:rPr>
              <w:t>20</w:t>
            </w:r>
            <w:r w:rsidR="009270BB" w:rsidRPr="00A60B01">
              <w:rPr>
                <w:b/>
                <w:bCs/>
              </w:rPr>
              <w:t>2</w:t>
            </w:r>
            <w:r w:rsidR="00A60B01" w:rsidRPr="00A60B01">
              <w:rPr>
                <w:b/>
                <w:bCs/>
              </w:rPr>
              <w:t>2</w:t>
            </w:r>
            <w:r w:rsidR="009270BB" w:rsidRPr="00A60B01">
              <w:rPr>
                <w:b/>
                <w:bCs/>
              </w:rPr>
              <w:t>/2</w:t>
            </w:r>
            <w:r w:rsidR="00A60B01" w:rsidRPr="00A60B01">
              <w:rPr>
                <w:b/>
                <w:bCs/>
              </w:rPr>
              <w:t>3</w:t>
            </w:r>
            <w:r w:rsidR="004A1080" w:rsidRPr="00A60B01">
              <w:rPr>
                <w:b/>
                <w:bCs/>
              </w:rPr>
              <w:t xml:space="preserve"> (to the nearest £)</w:t>
            </w:r>
          </w:p>
        </w:tc>
      </w:tr>
      <w:tr w:rsidR="00205BDF" w:rsidRPr="00205BDF" w14:paraId="4790E732" w14:textId="364A2684" w:rsidTr="007932ED">
        <w:tc>
          <w:tcPr>
            <w:tcW w:w="1402" w:type="dxa"/>
            <w:shd w:val="clear" w:color="auto" w:fill="D9D9D9" w:themeFill="background1" w:themeFillShade="D9"/>
          </w:tcPr>
          <w:p w14:paraId="1EEF7780" w14:textId="7187F5B9" w:rsidR="007932ED" w:rsidRPr="000C1341" w:rsidRDefault="007932ED" w:rsidP="00760FF9">
            <w:pPr>
              <w:spacing w:line="360" w:lineRule="auto"/>
              <w:rPr>
                <w:b/>
                <w:bCs/>
              </w:rPr>
            </w:pPr>
            <w:r w:rsidRPr="000C1341">
              <w:rPr>
                <w:b/>
                <w:bCs/>
              </w:rPr>
              <w:t>App Ref</w:t>
            </w:r>
          </w:p>
        </w:tc>
        <w:tc>
          <w:tcPr>
            <w:tcW w:w="2380" w:type="dxa"/>
            <w:shd w:val="clear" w:color="auto" w:fill="D9D9D9" w:themeFill="background1" w:themeFillShade="D9"/>
          </w:tcPr>
          <w:p w14:paraId="63C83F37" w14:textId="3E451EC1" w:rsidR="007932ED" w:rsidRPr="000C1341" w:rsidRDefault="007932ED" w:rsidP="00760FF9">
            <w:pPr>
              <w:spacing w:line="360" w:lineRule="auto"/>
              <w:rPr>
                <w:b/>
                <w:bCs/>
              </w:rPr>
            </w:pPr>
            <w:r w:rsidRPr="000C1341">
              <w:rPr>
                <w:b/>
                <w:bCs/>
              </w:rPr>
              <w:t>Location</w:t>
            </w:r>
          </w:p>
        </w:tc>
        <w:tc>
          <w:tcPr>
            <w:tcW w:w="5234" w:type="dxa"/>
            <w:shd w:val="clear" w:color="auto" w:fill="D9D9D9" w:themeFill="background1" w:themeFillShade="D9"/>
          </w:tcPr>
          <w:p w14:paraId="55B45F15" w14:textId="6B90490F" w:rsidR="007932ED" w:rsidRPr="000C1341" w:rsidRDefault="00906DD7" w:rsidP="00760FF9">
            <w:pPr>
              <w:spacing w:line="360" w:lineRule="auto"/>
              <w:rPr>
                <w:b/>
                <w:bCs/>
              </w:rPr>
            </w:pPr>
            <w:r w:rsidRPr="000C1341">
              <w:rPr>
                <w:b/>
                <w:bCs/>
              </w:rPr>
              <w:t xml:space="preserve">Breakdown of </w:t>
            </w:r>
            <w:r w:rsidR="007932ED" w:rsidRPr="000C1341">
              <w:rPr>
                <w:b/>
                <w:bCs/>
              </w:rPr>
              <w:t>Obligations</w:t>
            </w:r>
          </w:p>
        </w:tc>
      </w:tr>
      <w:tr w:rsidR="00205BDF" w:rsidRPr="00205BDF" w14:paraId="0C79EE4E" w14:textId="03B08D43" w:rsidTr="007932ED">
        <w:tc>
          <w:tcPr>
            <w:tcW w:w="1402" w:type="dxa"/>
          </w:tcPr>
          <w:p w14:paraId="4F2CB91F" w14:textId="5DF6BD53" w:rsidR="007932ED" w:rsidRPr="000C1341" w:rsidRDefault="000C1341" w:rsidP="00760FF9">
            <w:pPr>
              <w:spacing w:line="360" w:lineRule="auto"/>
            </w:pPr>
            <w:r w:rsidRPr="000C1341">
              <w:t>2017/0999</w:t>
            </w:r>
            <w:r>
              <w:t xml:space="preserve"> (Deed of Variation)</w:t>
            </w:r>
          </w:p>
        </w:tc>
        <w:tc>
          <w:tcPr>
            <w:tcW w:w="2380" w:type="dxa"/>
          </w:tcPr>
          <w:p w14:paraId="01C6AB30" w14:textId="497470C4" w:rsidR="007932ED" w:rsidRPr="000C1341" w:rsidRDefault="000C1341" w:rsidP="003A1D66">
            <w:pPr>
              <w:spacing w:line="360" w:lineRule="auto"/>
            </w:pPr>
            <w:r w:rsidRPr="000C1341">
              <w:t>Teal Close, Netherfield</w:t>
            </w:r>
          </w:p>
        </w:tc>
        <w:tc>
          <w:tcPr>
            <w:tcW w:w="5234" w:type="dxa"/>
          </w:tcPr>
          <w:p w14:paraId="48AD9C98" w14:textId="17DFEE1C" w:rsidR="000C1341" w:rsidRPr="000C1341" w:rsidRDefault="000C1341" w:rsidP="000C1341">
            <w:pPr>
              <w:spacing w:line="360" w:lineRule="auto"/>
              <w:rPr>
                <w:rFonts w:cs="Arial"/>
                <w:lang w:eastAsia="en-GB"/>
              </w:rPr>
            </w:pPr>
            <w:r w:rsidRPr="000C1341">
              <w:rPr>
                <w:rFonts w:cs="Arial"/>
                <w:lang w:eastAsia="en-GB"/>
              </w:rPr>
              <w:t>Cycle / Footway Works Contribution - £150,000</w:t>
            </w:r>
          </w:p>
          <w:p w14:paraId="3BAB68C4" w14:textId="77777777" w:rsidR="000C1341" w:rsidRPr="000C1341" w:rsidRDefault="000C1341" w:rsidP="000C1341">
            <w:pPr>
              <w:spacing w:line="360" w:lineRule="auto"/>
              <w:rPr>
                <w:rFonts w:cs="Arial"/>
                <w:lang w:eastAsia="en-GB"/>
              </w:rPr>
            </w:pPr>
          </w:p>
          <w:p w14:paraId="37833F59" w14:textId="38989106" w:rsidR="000C1341" w:rsidRPr="000C1341" w:rsidRDefault="000C1341" w:rsidP="000C1341">
            <w:pPr>
              <w:spacing w:line="360" w:lineRule="auto"/>
              <w:rPr>
                <w:rFonts w:cs="Arial"/>
                <w:lang w:eastAsia="en-GB"/>
              </w:rPr>
            </w:pPr>
            <w:r w:rsidRPr="000C1341">
              <w:rPr>
                <w:rFonts w:cs="Arial"/>
                <w:lang w:eastAsia="en-GB"/>
              </w:rPr>
              <w:t>Lowdham Roundabout Improvements Contribution - £64,932.75</w:t>
            </w:r>
          </w:p>
          <w:p w14:paraId="2727F4A5" w14:textId="1316E18D" w:rsidR="00531DA8" w:rsidRPr="00205BDF" w:rsidRDefault="00531DA8" w:rsidP="004A1080">
            <w:pPr>
              <w:spacing w:line="360" w:lineRule="auto"/>
              <w:rPr>
                <w:rFonts w:cs="Arial"/>
                <w:color w:val="FF0000"/>
                <w:lang w:eastAsia="en-GB"/>
              </w:rPr>
            </w:pPr>
          </w:p>
        </w:tc>
      </w:tr>
      <w:tr w:rsidR="00205BDF" w:rsidRPr="00205BDF" w14:paraId="113D1CBF" w14:textId="42E12559" w:rsidTr="00536B95">
        <w:tc>
          <w:tcPr>
            <w:tcW w:w="1402" w:type="dxa"/>
            <w:shd w:val="clear" w:color="auto" w:fill="D9D9D9" w:themeFill="background1" w:themeFillShade="D9"/>
          </w:tcPr>
          <w:p w14:paraId="2441121C" w14:textId="6A750F15" w:rsidR="007932ED" w:rsidRPr="00205BDF" w:rsidRDefault="000C1341" w:rsidP="00713973">
            <w:pPr>
              <w:spacing w:line="360" w:lineRule="auto"/>
              <w:rPr>
                <w:color w:val="FF0000"/>
              </w:rPr>
            </w:pPr>
            <w:r w:rsidRPr="000C1341">
              <w:t xml:space="preserve">2021/1363 </w:t>
            </w:r>
            <w:r w:rsidR="00611F5F" w:rsidRPr="000C1341">
              <w:t>(Deed of Variation)</w:t>
            </w:r>
          </w:p>
        </w:tc>
        <w:tc>
          <w:tcPr>
            <w:tcW w:w="2380" w:type="dxa"/>
            <w:shd w:val="clear" w:color="auto" w:fill="D9D9D9" w:themeFill="background1" w:themeFillShade="D9"/>
          </w:tcPr>
          <w:p w14:paraId="67EFA15D" w14:textId="77777777" w:rsidR="00536B95" w:rsidRDefault="000C1341" w:rsidP="00760FF9">
            <w:pPr>
              <w:spacing w:line="360" w:lineRule="auto"/>
            </w:pPr>
            <w:r w:rsidRPr="000C1341">
              <w:t>Former Car Park, North Green, Calverton, Nottingham</w:t>
            </w:r>
          </w:p>
          <w:p w14:paraId="6F607FD4" w14:textId="38470F83" w:rsidR="001C3AEB" w:rsidRPr="00205BDF" w:rsidRDefault="001C3AEB" w:rsidP="00760FF9">
            <w:pPr>
              <w:spacing w:line="360" w:lineRule="auto"/>
              <w:rPr>
                <w:rFonts w:cs="Arial"/>
                <w:color w:val="FF0000"/>
                <w:szCs w:val="18"/>
                <w:shd w:val="clear" w:color="auto" w:fill="FFFFFF"/>
              </w:rPr>
            </w:pPr>
          </w:p>
        </w:tc>
        <w:tc>
          <w:tcPr>
            <w:tcW w:w="5234" w:type="dxa"/>
            <w:shd w:val="clear" w:color="auto" w:fill="D9D9D9" w:themeFill="background1" w:themeFillShade="D9"/>
          </w:tcPr>
          <w:p w14:paraId="5262A524" w14:textId="73E454FE" w:rsidR="0041031C" w:rsidRPr="001C3AEB" w:rsidRDefault="00713973" w:rsidP="00611F5F">
            <w:pPr>
              <w:spacing w:line="360" w:lineRule="auto"/>
              <w:rPr>
                <w:rFonts w:cs="Arial"/>
                <w:lang w:eastAsia="en-GB"/>
              </w:rPr>
            </w:pPr>
            <w:r w:rsidRPr="001C3AEB">
              <w:t xml:space="preserve">No </w:t>
            </w:r>
            <w:r w:rsidRPr="001C3AEB">
              <w:rPr>
                <w:rFonts w:cs="Arial"/>
                <w:lang w:eastAsia="en-GB"/>
              </w:rPr>
              <w:t xml:space="preserve">new obligations. Purpose of </w:t>
            </w:r>
            <w:proofErr w:type="spellStart"/>
            <w:r w:rsidR="00611F5F" w:rsidRPr="001C3AEB">
              <w:rPr>
                <w:rFonts w:cs="Arial"/>
                <w:lang w:eastAsia="en-GB"/>
              </w:rPr>
              <w:t>DoV</w:t>
            </w:r>
            <w:proofErr w:type="spellEnd"/>
            <w:r w:rsidRPr="001C3AEB">
              <w:rPr>
                <w:rFonts w:cs="Arial"/>
                <w:lang w:eastAsia="en-GB"/>
              </w:rPr>
              <w:t xml:space="preserve"> is to tie new permissions to original</w:t>
            </w:r>
            <w:r w:rsidR="00611F5F" w:rsidRPr="001C3AEB">
              <w:rPr>
                <w:rFonts w:cs="Arial"/>
                <w:lang w:eastAsia="en-GB"/>
              </w:rPr>
              <w:t xml:space="preserve"> agreement</w:t>
            </w:r>
            <w:r w:rsidRPr="001C3AEB">
              <w:rPr>
                <w:rFonts w:cs="Arial"/>
                <w:lang w:eastAsia="en-GB"/>
              </w:rPr>
              <w:t>.</w:t>
            </w:r>
          </w:p>
        </w:tc>
      </w:tr>
      <w:tr w:rsidR="00205BDF" w:rsidRPr="00205BDF" w14:paraId="68D1212B" w14:textId="2D663FCE" w:rsidTr="007932ED">
        <w:tc>
          <w:tcPr>
            <w:tcW w:w="1402" w:type="dxa"/>
          </w:tcPr>
          <w:p w14:paraId="29FEDA4E" w14:textId="400C03E8" w:rsidR="007932ED" w:rsidRPr="001C3AEB" w:rsidRDefault="001C3AEB" w:rsidP="00760FF9">
            <w:pPr>
              <w:spacing w:line="360" w:lineRule="auto"/>
            </w:pPr>
            <w:r w:rsidRPr="001C3AEB">
              <w:t>2021/1471</w:t>
            </w:r>
            <w:r w:rsidR="005D145D">
              <w:t xml:space="preserve"> (Deed of Variation)</w:t>
            </w:r>
          </w:p>
        </w:tc>
        <w:tc>
          <w:tcPr>
            <w:tcW w:w="2380" w:type="dxa"/>
          </w:tcPr>
          <w:p w14:paraId="1847F993" w14:textId="77777777" w:rsidR="007932ED" w:rsidRDefault="001C3AEB" w:rsidP="0041031C">
            <w:pPr>
              <w:spacing w:line="360" w:lineRule="auto"/>
              <w:rPr>
                <w:rFonts w:cs="Arial"/>
                <w:szCs w:val="18"/>
                <w:shd w:val="clear" w:color="auto" w:fill="FFFFFF"/>
              </w:rPr>
            </w:pPr>
            <w:r w:rsidRPr="001C3AEB">
              <w:rPr>
                <w:rFonts w:cs="Arial"/>
                <w:szCs w:val="18"/>
                <w:shd w:val="clear" w:color="auto" w:fill="FFFFFF"/>
              </w:rPr>
              <w:t>Land at Rolleston Drive, Arnold</w:t>
            </w:r>
            <w:r w:rsidR="005D145D">
              <w:rPr>
                <w:rFonts w:cs="Arial"/>
                <w:szCs w:val="18"/>
                <w:shd w:val="clear" w:color="auto" w:fill="FFFFFF"/>
              </w:rPr>
              <w:t>, Nottingham</w:t>
            </w:r>
          </w:p>
          <w:p w14:paraId="3109B13D" w14:textId="2F63A9F0" w:rsidR="005D145D" w:rsidRPr="001C3AEB" w:rsidRDefault="005D145D" w:rsidP="0041031C">
            <w:pPr>
              <w:spacing w:line="360" w:lineRule="auto"/>
              <w:rPr>
                <w:rFonts w:cs="Arial"/>
              </w:rPr>
            </w:pPr>
          </w:p>
        </w:tc>
        <w:tc>
          <w:tcPr>
            <w:tcW w:w="5234" w:type="dxa"/>
          </w:tcPr>
          <w:p w14:paraId="15F9A8C9" w14:textId="77777777" w:rsidR="006A593C" w:rsidRPr="001C3AEB" w:rsidRDefault="001C3AEB" w:rsidP="004A1080">
            <w:pPr>
              <w:spacing w:line="360" w:lineRule="auto"/>
              <w:rPr>
                <w:rFonts w:cs="Arial"/>
                <w:lang w:eastAsia="en-GB"/>
              </w:rPr>
            </w:pPr>
            <w:r w:rsidRPr="001C3AEB">
              <w:rPr>
                <w:rFonts w:cs="Arial"/>
                <w:lang w:eastAsia="en-GB"/>
              </w:rPr>
              <w:t xml:space="preserve">No new obligations. Purpose of </w:t>
            </w:r>
            <w:proofErr w:type="spellStart"/>
            <w:r w:rsidRPr="001C3AEB">
              <w:rPr>
                <w:rFonts w:cs="Arial"/>
                <w:lang w:eastAsia="en-GB"/>
              </w:rPr>
              <w:t>DoV</w:t>
            </w:r>
            <w:proofErr w:type="spellEnd"/>
            <w:r w:rsidRPr="001C3AEB">
              <w:rPr>
                <w:rFonts w:cs="Arial"/>
                <w:lang w:eastAsia="en-GB"/>
              </w:rPr>
              <w:t xml:space="preserve"> is to tie new permissions to original agreement.</w:t>
            </w:r>
          </w:p>
          <w:p w14:paraId="46AA80A0" w14:textId="250AFFB7" w:rsidR="001C3AEB" w:rsidRPr="001C3AEB" w:rsidRDefault="001C3AEB" w:rsidP="004A1080">
            <w:pPr>
              <w:spacing w:line="360" w:lineRule="auto"/>
              <w:rPr>
                <w:rFonts w:cs="Arial"/>
                <w:lang w:eastAsia="en-GB"/>
              </w:rPr>
            </w:pPr>
          </w:p>
        </w:tc>
      </w:tr>
      <w:tr w:rsidR="00205BDF" w:rsidRPr="00205BDF" w14:paraId="10A414DA" w14:textId="16155C36" w:rsidTr="007932ED">
        <w:tc>
          <w:tcPr>
            <w:tcW w:w="1402" w:type="dxa"/>
            <w:shd w:val="clear" w:color="auto" w:fill="D9D9D9" w:themeFill="background1" w:themeFillShade="D9"/>
          </w:tcPr>
          <w:p w14:paraId="7242686B" w14:textId="78C4043F" w:rsidR="007932ED" w:rsidRPr="001C3AEB" w:rsidRDefault="001C3AEB" w:rsidP="00760FF9">
            <w:pPr>
              <w:spacing w:line="360" w:lineRule="auto"/>
            </w:pPr>
            <w:r w:rsidRPr="001C3AEB">
              <w:t>2020/1254</w:t>
            </w:r>
          </w:p>
        </w:tc>
        <w:tc>
          <w:tcPr>
            <w:tcW w:w="2380" w:type="dxa"/>
            <w:shd w:val="clear" w:color="auto" w:fill="D9D9D9" w:themeFill="background1" w:themeFillShade="D9"/>
          </w:tcPr>
          <w:p w14:paraId="78ACB4E6" w14:textId="24859883" w:rsidR="007932ED" w:rsidRPr="001C3AEB" w:rsidRDefault="001C3AEB" w:rsidP="00653A8E">
            <w:pPr>
              <w:spacing w:line="360" w:lineRule="auto"/>
            </w:pPr>
            <w:r w:rsidRPr="001C3AEB">
              <w:t>73 Burton Road, Carlton, Nottingham</w:t>
            </w:r>
          </w:p>
        </w:tc>
        <w:tc>
          <w:tcPr>
            <w:tcW w:w="5234" w:type="dxa"/>
            <w:shd w:val="clear" w:color="auto" w:fill="D9D9D9" w:themeFill="background1" w:themeFillShade="D9"/>
          </w:tcPr>
          <w:p w14:paraId="2B01E592" w14:textId="6542F5F7" w:rsidR="00653A8E" w:rsidRPr="001C3AEB" w:rsidRDefault="00653A8E" w:rsidP="00653A8E">
            <w:pPr>
              <w:spacing w:line="360" w:lineRule="auto"/>
              <w:rPr>
                <w:rFonts w:cs="Arial"/>
                <w:lang w:eastAsia="en-GB"/>
              </w:rPr>
            </w:pPr>
            <w:r w:rsidRPr="001C3AEB">
              <w:rPr>
                <w:rFonts w:cs="Arial"/>
                <w:lang w:eastAsia="en-GB"/>
              </w:rPr>
              <w:t xml:space="preserve">Local </w:t>
            </w:r>
            <w:r w:rsidR="001C3AEB" w:rsidRPr="001C3AEB">
              <w:rPr>
                <w:rFonts w:cs="Arial"/>
                <w:lang w:eastAsia="en-GB"/>
              </w:rPr>
              <w:t>Labour Agreement</w:t>
            </w:r>
            <w:r w:rsidRPr="001C3AEB">
              <w:rPr>
                <w:rFonts w:cs="Arial"/>
                <w:lang w:eastAsia="en-GB"/>
              </w:rPr>
              <w:t>.</w:t>
            </w:r>
          </w:p>
          <w:p w14:paraId="21F6B0E1" w14:textId="77777777" w:rsidR="001C3AEB" w:rsidRPr="001C3AEB" w:rsidRDefault="001C3AEB" w:rsidP="004A1080">
            <w:pPr>
              <w:spacing w:line="360" w:lineRule="auto"/>
              <w:rPr>
                <w:rFonts w:cs="Arial"/>
                <w:lang w:eastAsia="en-GB"/>
              </w:rPr>
            </w:pPr>
          </w:p>
          <w:p w14:paraId="7EA422E6" w14:textId="77777777" w:rsidR="00906DD7" w:rsidRPr="001C3AEB" w:rsidRDefault="00653A8E" w:rsidP="004A1080">
            <w:pPr>
              <w:spacing w:line="360" w:lineRule="auto"/>
              <w:rPr>
                <w:rFonts w:cs="Arial"/>
                <w:lang w:eastAsia="en-GB"/>
              </w:rPr>
            </w:pPr>
            <w:r w:rsidRPr="001C3AEB">
              <w:rPr>
                <w:rFonts w:cs="Arial"/>
                <w:lang w:eastAsia="en-GB"/>
              </w:rPr>
              <w:t>Monitoring Fee £630.</w:t>
            </w:r>
          </w:p>
          <w:p w14:paraId="031BB96E" w14:textId="77777777" w:rsidR="001C3AEB" w:rsidRPr="001C3AEB" w:rsidRDefault="001C3AEB" w:rsidP="004A1080">
            <w:pPr>
              <w:spacing w:line="360" w:lineRule="auto"/>
            </w:pPr>
          </w:p>
          <w:p w14:paraId="5C068F50" w14:textId="77777777" w:rsidR="001C3AEB" w:rsidRPr="001C3AEB" w:rsidRDefault="001C3AEB" w:rsidP="004A1080">
            <w:pPr>
              <w:spacing w:line="360" w:lineRule="auto"/>
            </w:pPr>
            <w:r w:rsidRPr="001C3AEB">
              <w:t>Viability Re-Appraisal. If found viable:</w:t>
            </w:r>
          </w:p>
          <w:p w14:paraId="75BC2985" w14:textId="77777777" w:rsidR="001C3AEB" w:rsidRPr="001C3AEB" w:rsidRDefault="001C3AEB" w:rsidP="001C3AEB">
            <w:pPr>
              <w:pStyle w:val="ListParagraph"/>
              <w:numPr>
                <w:ilvl w:val="0"/>
                <w:numId w:val="7"/>
              </w:numPr>
              <w:spacing w:line="360" w:lineRule="auto"/>
            </w:pPr>
            <w:r w:rsidRPr="001C3AEB">
              <w:t>Affordable Housing Contribution</w:t>
            </w:r>
          </w:p>
          <w:p w14:paraId="7DF7D91D" w14:textId="77777777" w:rsidR="001C3AEB" w:rsidRDefault="001C3AEB" w:rsidP="001C3AEB">
            <w:pPr>
              <w:pStyle w:val="ListParagraph"/>
              <w:numPr>
                <w:ilvl w:val="0"/>
                <w:numId w:val="7"/>
              </w:numPr>
              <w:spacing w:line="360" w:lineRule="auto"/>
            </w:pPr>
            <w:r w:rsidRPr="001C3AEB">
              <w:t>Bus Stop Contribution</w:t>
            </w:r>
          </w:p>
          <w:p w14:paraId="4C7F2E2D" w14:textId="667C65B0" w:rsidR="001C3AEB" w:rsidRPr="001C3AEB" w:rsidRDefault="001C3AEB" w:rsidP="001C3AEB">
            <w:pPr>
              <w:spacing w:line="360" w:lineRule="auto"/>
            </w:pPr>
          </w:p>
        </w:tc>
      </w:tr>
      <w:tr w:rsidR="00205BDF" w:rsidRPr="00205BDF" w14:paraId="35162A89" w14:textId="77777777" w:rsidTr="000D03E1">
        <w:tc>
          <w:tcPr>
            <w:tcW w:w="1402" w:type="dxa"/>
            <w:shd w:val="clear" w:color="auto" w:fill="FFFFFF" w:themeFill="background1"/>
          </w:tcPr>
          <w:p w14:paraId="2CE5D08A" w14:textId="4197C3B5" w:rsidR="000D03E1" w:rsidRPr="002F029C" w:rsidRDefault="002F029C" w:rsidP="00760FF9">
            <w:pPr>
              <w:spacing w:line="360" w:lineRule="auto"/>
            </w:pPr>
            <w:r w:rsidRPr="002F029C">
              <w:t>2020/1312</w:t>
            </w:r>
          </w:p>
        </w:tc>
        <w:tc>
          <w:tcPr>
            <w:tcW w:w="2380" w:type="dxa"/>
            <w:shd w:val="clear" w:color="auto" w:fill="FFFFFF" w:themeFill="background1"/>
          </w:tcPr>
          <w:p w14:paraId="077E097A" w14:textId="56F7EEEB" w:rsidR="000D03E1" w:rsidRPr="002F029C" w:rsidRDefault="002F029C" w:rsidP="00653A8E">
            <w:pPr>
              <w:spacing w:line="360" w:lineRule="auto"/>
            </w:pPr>
            <w:r w:rsidRPr="002F029C">
              <w:t>53 Woodthorpe Drive, Woodthorpe, Nottingham</w:t>
            </w:r>
          </w:p>
        </w:tc>
        <w:tc>
          <w:tcPr>
            <w:tcW w:w="5234" w:type="dxa"/>
            <w:shd w:val="clear" w:color="auto" w:fill="FFFFFF" w:themeFill="background1"/>
          </w:tcPr>
          <w:p w14:paraId="542FB6EF" w14:textId="77777777" w:rsidR="002F029C" w:rsidRPr="001C3AEB" w:rsidRDefault="002F029C" w:rsidP="002F029C">
            <w:pPr>
              <w:spacing w:line="360" w:lineRule="auto"/>
              <w:rPr>
                <w:rFonts w:cs="Arial"/>
                <w:lang w:eastAsia="en-GB"/>
              </w:rPr>
            </w:pPr>
            <w:r w:rsidRPr="001C3AEB">
              <w:rPr>
                <w:rFonts w:cs="Arial"/>
                <w:lang w:eastAsia="en-GB"/>
              </w:rPr>
              <w:t>Local Labour Agreement.</w:t>
            </w:r>
          </w:p>
          <w:p w14:paraId="4589D28E" w14:textId="77777777" w:rsidR="002F029C" w:rsidRPr="002F029C" w:rsidRDefault="002F029C" w:rsidP="002F029C">
            <w:pPr>
              <w:spacing w:line="360" w:lineRule="auto"/>
              <w:rPr>
                <w:rFonts w:cs="Arial"/>
                <w:lang w:eastAsia="en-GB"/>
              </w:rPr>
            </w:pPr>
          </w:p>
          <w:p w14:paraId="21B5736E" w14:textId="0610ADA7" w:rsidR="000D03E1" w:rsidRPr="002F029C" w:rsidRDefault="002F029C" w:rsidP="000D03E1">
            <w:pPr>
              <w:spacing w:line="360" w:lineRule="auto"/>
              <w:rPr>
                <w:rFonts w:cs="Arial"/>
                <w:lang w:eastAsia="en-GB"/>
              </w:rPr>
            </w:pPr>
            <w:r w:rsidRPr="002F029C">
              <w:rPr>
                <w:rFonts w:cs="Arial"/>
                <w:lang w:eastAsia="en-GB"/>
              </w:rPr>
              <w:t xml:space="preserve">Primary Healthcare </w:t>
            </w:r>
            <w:r w:rsidR="00611F5F" w:rsidRPr="002F029C">
              <w:rPr>
                <w:rFonts w:cs="Arial"/>
                <w:lang w:eastAsia="en-GB"/>
              </w:rPr>
              <w:t xml:space="preserve">Contribution </w:t>
            </w:r>
            <w:r w:rsidRPr="002F029C">
              <w:rPr>
                <w:rFonts w:cs="Arial"/>
                <w:lang w:eastAsia="en-GB"/>
              </w:rPr>
              <w:t xml:space="preserve">- </w:t>
            </w:r>
            <w:r w:rsidR="00611F5F" w:rsidRPr="002F029C">
              <w:rPr>
                <w:rFonts w:cs="Arial"/>
                <w:lang w:eastAsia="en-GB"/>
              </w:rPr>
              <w:t>£</w:t>
            </w:r>
            <w:r w:rsidRPr="002F029C">
              <w:rPr>
                <w:rFonts w:cs="Arial"/>
                <w:lang w:eastAsia="en-GB"/>
              </w:rPr>
              <w:t>8,670.</w:t>
            </w:r>
          </w:p>
          <w:p w14:paraId="491A1502" w14:textId="77777777" w:rsidR="000D03E1" w:rsidRPr="002F029C" w:rsidRDefault="000D03E1" w:rsidP="000D03E1">
            <w:pPr>
              <w:spacing w:line="360" w:lineRule="auto"/>
            </w:pPr>
          </w:p>
          <w:p w14:paraId="407F7AF2" w14:textId="77777777" w:rsidR="000D03E1" w:rsidRDefault="002F029C" w:rsidP="004A1080">
            <w:pPr>
              <w:spacing w:line="360" w:lineRule="auto"/>
              <w:rPr>
                <w:rFonts w:cs="Arial"/>
                <w:lang w:eastAsia="en-GB"/>
              </w:rPr>
            </w:pPr>
            <w:r w:rsidRPr="002F029C">
              <w:rPr>
                <w:rFonts w:cs="Arial"/>
                <w:lang w:eastAsia="en-GB"/>
              </w:rPr>
              <w:t>Bus Stop Contribution - £6,000.</w:t>
            </w:r>
          </w:p>
          <w:p w14:paraId="093E4628" w14:textId="6FB3DB01" w:rsidR="002F029C" w:rsidRPr="00205BDF" w:rsidRDefault="002F029C" w:rsidP="004A1080">
            <w:pPr>
              <w:spacing w:line="360" w:lineRule="auto"/>
              <w:rPr>
                <w:rFonts w:cs="Arial"/>
                <w:color w:val="FF0000"/>
                <w:lang w:eastAsia="en-GB"/>
              </w:rPr>
            </w:pPr>
          </w:p>
        </w:tc>
      </w:tr>
      <w:tr w:rsidR="00205BDF" w:rsidRPr="00205BDF" w14:paraId="30718148" w14:textId="77777777" w:rsidTr="00611F5F">
        <w:tc>
          <w:tcPr>
            <w:tcW w:w="1402" w:type="dxa"/>
            <w:shd w:val="clear" w:color="auto" w:fill="D9D9D9" w:themeFill="background1" w:themeFillShade="D9"/>
          </w:tcPr>
          <w:p w14:paraId="6D90580E" w14:textId="533B7A16" w:rsidR="00611F5F" w:rsidRPr="002F029C" w:rsidRDefault="002F029C" w:rsidP="00760FF9">
            <w:pPr>
              <w:spacing w:line="360" w:lineRule="auto"/>
            </w:pPr>
            <w:r w:rsidRPr="002F029C">
              <w:lastRenderedPageBreak/>
              <w:t xml:space="preserve">2022/0432 </w:t>
            </w:r>
            <w:r w:rsidR="00611F5F" w:rsidRPr="002F029C">
              <w:t>(Deed of Variation)</w:t>
            </w:r>
          </w:p>
        </w:tc>
        <w:tc>
          <w:tcPr>
            <w:tcW w:w="2380" w:type="dxa"/>
            <w:shd w:val="clear" w:color="auto" w:fill="D9D9D9" w:themeFill="background1" w:themeFillShade="D9"/>
          </w:tcPr>
          <w:p w14:paraId="558F0C31" w14:textId="5F2DA0AE" w:rsidR="00611F5F" w:rsidRPr="002F029C" w:rsidRDefault="00611F5F" w:rsidP="00653A8E">
            <w:pPr>
              <w:spacing w:line="360" w:lineRule="auto"/>
            </w:pPr>
            <w:r w:rsidRPr="002F029C">
              <w:t>Land at Teal Close, Burton Joyce</w:t>
            </w:r>
          </w:p>
        </w:tc>
        <w:tc>
          <w:tcPr>
            <w:tcW w:w="5234" w:type="dxa"/>
            <w:shd w:val="clear" w:color="auto" w:fill="D9D9D9" w:themeFill="background1" w:themeFillShade="D9"/>
          </w:tcPr>
          <w:p w14:paraId="6BD39E6C" w14:textId="49C41ADB" w:rsidR="00611F5F" w:rsidRPr="002F029C" w:rsidRDefault="002F029C" w:rsidP="00611F5F">
            <w:pPr>
              <w:spacing w:line="360" w:lineRule="auto"/>
              <w:rPr>
                <w:rFonts w:cs="Arial"/>
                <w:lang w:eastAsia="en-GB"/>
              </w:rPr>
            </w:pPr>
            <w:r w:rsidRPr="002F029C">
              <w:t>Affordable Housing – First Homes.</w:t>
            </w:r>
          </w:p>
        </w:tc>
      </w:tr>
      <w:tr w:rsidR="00205BDF" w:rsidRPr="00205BDF" w14:paraId="6DFCC210" w14:textId="77777777" w:rsidTr="00611F5F">
        <w:tc>
          <w:tcPr>
            <w:tcW w:w="1402" w:type="dxa"/>
            <w:shd w:val="clear" w:color="auto" w:fill="FFFFFF" w:themeFill="background1"/>
          </w:tcPr>
          <w:p w14:paraId="0EADC668" w14:textId="10AE22E8" w:rsidR="00611F5F" w:rsidRPr="005D145D" w:rsidRDefault="002F029C" w:rsidP="00760FF9">
            <w:pPr>
              <w:spacing w:line="360" w:lineRule="auto"/>
            </w:pPr>
            <w:r w:rsidRPr="005D145D">
              <w:t>2022/0240</w:t>
            </w:r>
          </w:p>
        </w:tc>
        <w:tc>
          <w:tcPr>
            <w:tcW w:w="2380" w:type="dxa"/>
            <w:shd w:val="clear" w:color="auto" w:fill="FFFFFF" w:themeFill="background1"/>
          </w:tcPr>
          <w:p w14:paraId="67C2611A" w14:textId="77777777" w:rsidR="00611F5F" w:rsidRDefault="002F029C" w:rsidP="00653A8E">
            <w:pPr>
              <w:spacing w:line="360" w:lineRule="auto"/>
            </w:pPr>
            <w:r w:rsidRPr="005D145D">
              <w:t xml:space="preserve">Netherfield Methodist Church, Victoria Road, </w:t>
            </w:r>
            <w:proofErr w:type="gramStart"/>
            <w:r w:rsidRPr="005D145D">
              <w:t>Netherfield ,</w:t>
            </w:r>
            <w:proofErr w:type="gramEnd"/>
            <w:r w:rsidRPr="005D145D">
              <w:t xml:space="preserve"> Nottinghamshire</w:t>
            </w:r>
          </w:p>
          <w:p w14:paraId="3BA14B90" w14:textId="3E12A64D" w:rsidR="00F21163" w:rsidRPr="005D145D" w:rsidRDefault="00F21163" w:rsidP="00653A8E">
            <w:pPr>
              <w:spacing w:line="360" w:lineRule="auto"/>
            </w:pPr>
          </w:p>
        </w:tc>
        <w:tc>
          <w:tcPr>
            <w:tcW w:w="5234" w:type="dxa"/>
            <w:shd w:val="clear" w:color="auto" w:fill="FFFFFF" w:themeFill="background1"/>
          </w:tcPr>
          <w:p w14:paraId="1388228E" w14:textId="77777777" w:rsidR="00611F5F" w:rsidRPr="005D145D" w:rsidRDefault="00611F5F" w:rsidP="00611F5F">
            <w:pPr>
              <w:spacing w:line="360" w:lineRule="auto"/>
              <w:rPr>
                <w:rFonts w:cs="Arial"/>
                <w:lang w:eastAsia="en-GB"/>
              </w:rPr>
            </w:pPr>
            <w:r w:rsidRPr="005D145D">
              <w:rPr>
                <w:rFonts w:cs="Arial"/>
                <w:lang w:eastAsia="en-GB"/>
              </w:rPr>
              <w:t>Local Employment and Skills Plan.</w:t>
            </w:r>
          </w:p>
          <w:p w14:paraId="30878381" w14:textId="0DF3245A" w:rsidR="00611F5F" w:rsidRPr="005D145D" w:rsidRDefault="00611F5F" w:rsidP="00611F5F">
            <w:pPr>
              <w:spacing w:line="360" w:lineRule="auto"/>
              <w:rPr>
                <w:rFonts w:cs="Arial"/>
                <w:lang w:eastAsia="en-GB"/>
              </w:rPr>
            </w:pPr>
          </w:p>
          <w:p w14:paraId="358EE134" w14:textId="629021F0" w:rsidR="00611F5F" w:rsidRPr="005D145D" w:rsidRDefault="002F029C" w:rsidP="00611F5F">
            <w:pPr>
              <w:spacing w:line="360" w:lineRule="auto"/>
              <w:rPr>
                <w:rFonts w:cs="Arial"/>
                <w:lang w:eastAsia="en-GB"/>
              </w:rPr>
            </w:pPr>
            <w:r w:rsidRPr="005D145D">
              <w:rPr>
                <w:rFonts w:cs="Arial"/>
                <w:lang w:eastAsia="en-GB"/>
              </w:rPr>
              <w:t>Bus Stop Contribution - £8,825</w:t>
            </w:r>
            <w:r w:rsidR="005D145D" w:rsidRPr="005D145D">
              <w:rPr>
                <w:rFonts w:cs="Arial"/>
                <w:lang w:eastAsia="en-GB"/>
              </w:rPr>
              <w:t>.</w:t>
            </w:r>
          </w:p>
          <w:p w14:paraId="35DCAD9A" w14:textId="77777777" w:rsidR="00611F5F" w:rsidRPr="005D145D" w:rsidRDefault="00611F5F" w:rsidP="00611F5F">
            <w:pPr>
              <w:spacing w:line="360" w:lineRule="auto"/>
            </w:pPr>
          </w:p>
        </w:tc>
      </w:tr>
      <w:tr w:rsidR="00205BDF" w:rsidRPr="00205BDF" w14:paraId="24D660B5" w14:textId="77777777" w:rsidTr="00611F5F">
        <w:tc>
          <w:tcPr>
            <w:tcW w:w="1402" w:type="dxa"/>
            <w:shd w:val="clear" w:color="auto" w:fill="D9D9D9" w:themeFill="background1" w:themeFillShade="D9"/>
          </w:tcPr>
          <w:p w14:paraId="575BF757" w14:textId="5B404E97" w:rsidR="00611F5F" w:rsidRPr="005D145D" w:rsidRDefault="005D145D" w:rsidP="00760FF9">
            <w:pPr>
              <w:spacing w:line="360" w:lineRule="auto"/>
            </w:pPr>
            <w:r w:rsidRPr="005D145D">
              <w:t>2021/0668</w:t>
            </w:r>
            <w:r>
              <w:t xml:space="preserve"> (Deed of Variation)</w:t>
            </w:r>
          </w:p>
        </w:tc>
        <w:tc>
          <w:tcPr>
            <w:tcW w:w="2380" w:type="dxa"/>
            <w:shd w:val="clear" w:color="auto" w:fill="D9D9D9" w:themeFill="background1" w:themeFillShade="D9"/>
          </w:tcPr>
          <w:p w14:paraId="3F855954" w14:textId="77777777" w:rsidR="00611F5F" w:rsidRPr="005D145D" w:rsidRDefault="005D145D" w:rsidP="00611F5F">
            <w:pPr>
              <w:spacing w:line="360" w:lineRule="auto"/>
            </w:pPr>
            <w:r w:rsidRPr="005D145D">
              <w:t>Land Northwest of Park Road, Calverton, Nottingham</w:t>
            </w:r>
          </w:p>
          <w:p w14:paraId="7E2CB6F1" w14:textId="1AE4A3B6" w:rsidR="005D145D" w:rsidRPr="005D145D" w:rsidRDefault="005D145D" w:rsidP="00611F5F">
            <w:pPr>
              <w:spacing w:line="360" w:lineRule="auto"/>
            </w:pPr>
          </w:p>
        </w:tc>
        <w:tc>
          <w:tcPr>
            <w:tcW w:w="5234" w:type="dxa"/>
            <w:shd w:val="clear" w:color="auto" w:fill="D9D9D9" w:themeFill="background1" w:themeFillShade="D9"/>
          </w:tcPr>
          <w:p w14:paraId="147342CD" w14:textId="5B6FC0EE" w:rsidR="00611F5F" w:rsidRPr="005D145D" w:rsidRDefault="005D145D" w:rsidP="004A1080">
            <w:pPr>
              <w:spacing w:line="360" w:lineRule="auto"/>
              <w:rPr>
                <w:rFonts w:cs="Arial"/>
                <w:lang w:eastAsia="en-GB"/>
              </w:rPr>
            </w:pPr>
            <w:r w:rsidRPr="005D145D">
              <w:rPr>
                <w:rFonts w:cs="Arial"/>
                <w:lang w:eastAsia="en-GB"/>
              </w:rPr>
              <w:t>Affordable Housing Provisions.</w:t>
            </w:r>
          </w:p>
        </w:tc>
      </w:tr>
    </w:tbl>
    <w:p w14:paraId="4A3A4EA4" w14:textId="77777777" w:rsidR="003E47AA" w:rsidRPr="00205BDF" w:rsidRDefault="003E47AA" w:rsidP="003E47AA">
      <w:pPr>
        <w:pStyle w:val="NoSpacing"/>
        <w:rPr>
          <w:color w:val="FF0000"/>
        </w:rPr>
      </w:pPr>
    </w:p>
    <w:p w14:paraId="3F08792C" w14:textId="7C46FBE4" w:rsidR="00760FF9" w:rsidRPr="00A60B01" w:rsidRDefault="00760FF9" w:rsidP="00810EDF">
      <w:pPr>
        <w:spacing w:line="360" w:lineRule="auto"/>
        <w:jc w:val="both"/>
      </w:pPr>
      <w:r w:rsidRPr="00A60B01">
        <w:t xml:space="preserve">A copy of each Section 106 Agreement and other public documents relevant to </w:t>
      </w:r>
      <w:r w:rsidR="00516AC7" w:rsidRPr="00A60B01">
        <w:t>each</w:t>
      </w:r>
      <w:r w:rsidRPr="00A60B01">
        <w:t xml:space="preserve"> Planning Application can be viewed electronically on the planning portal at </w:t>
      </w:r>
      <w:hyperlink r:id="rId14" w:history="1">
        <w:r w:rsidRPr="00A60B01">
          <w:rPr>
            <w:rStyle w:val="Hyperlink"/>
            <w:color w:val="auto"/>
          </w:rPr>
          <w:t>https://pawam.gedling.gov.uk/online-applications/</w:t>
        </w:r>
      </w:hyperlink>
      <w:r w:rsidRPr="00A60B01">
        <w:t xml:space="preserve">. </w:t>
      </w:r>
    </w:p>
    <w:p w14:paraId="429C4933" w14:textId="1F22925A" w:rsidR="00F220D7" w:rsidRPr="00A60B01" w:rsidRDefault="00760FF9" w:rsidP="00810EDF">
      <w:pPr>
        <w:spacing w:line="360" w:lineRule="auto"/>
        <w:jc w:val="both"/>
        <w:rPr>
          <w:b/>
          <w:bCs/>
        </w:rPr>
      </w:pPr>
      <w:r w:rsidRPr="00A60B01">
        <w:rPr>
          <w:b/>
          <w:bCs/>
        </w:rPr>
        <w:t>3.2</w:t>
      </w:r>
      <w:r w:rsidRPr="00A60B01">
        <w:rPr>
          <w:b/>
          <w:bCs/>
        </w:rPr>
        <w:tab/>
        <w:t xml:space="preserve">Section 106 </w:t>
      </w:r>
      <w:r w:rsidR="001F1916" w:rsidRPr="00A60B01">
        <w:rPr>
          <w:b/>
          <w:bCs/>
        </w:rPr>
        <w:t>Capital</w:t>
      </w:r>
      <w:r w:rsidRPr="00A60B01">
        <w:rPr>
          <w:b/>
          <w:bCs/>
        </w:rPr>
        <w:t xml:space="preserve"> Contributions</w:t>
      </w:r>
      <w:r w:rsidR="001F1916" w:rsidRPr="00A60B01">
        <w:rPr>
          <w:b/>
          <w:bCs/>
        </w:rPr>
        <w:t xml:space="preserve"> Overview</w:t>
      </w:r>
    </w:p>
    <w:p w14:paraId="1712524F" w14:textId="097E7ECF" w:rsidR="00E9286C" w:rsidRPr="003C0DF1" w:rsidRDefault="00170E02" w:rsidP="00810EDF">
      <w:pPr>
        <w:spacing w:line="360" w:lineRule="auto"/>
        <w:jc w:val="both"/>
      </w:pPr>
      <w:r w:rsidRPr="003C0DF1">
        <w:t>A</w:t>
      </w:r>
      <w:r w:rsidR="00E9286C" w:rsidRPr="003C0DF1">
        <w:t xml:space="preserve"> total of</w:t>
      </w:r>
      <w:r w:rsidR="008534D5" w:rsidRPr="003C0DF1">
        <w:t xml:space="preserve"> £</w:t>
      </w:r>
      <w:r w:rsidR="003C0DF1" w:rsidRPr="003C0DF1">
        <w:t>799,711</w:t>
      </w:r>
      <w:r w:rsidR="00E9286C" w:rsidRPr="003C0DF1">
        <w:t xml:space="preserve"> was received in Section 106 Contributions</w:t>
      </w:r>
      <w:r w:rsidR="00210856" w:rsidRPr="003C0DF1">
        <w:t xml:space="preserve"> </w:t>
      </w:r>
      <w:r w:rsidRPr="003C0DF1">
        <w:t>during the financial year 202</w:t>
      </w:r>
      <w:r w:rsidR="003C0DF1" w:rsidRPr="003C0DF1">
        <w:t>2</w:t>
      </w:r>
      <w:r w:rsidRPr="003C0DF1">
        <w:t>/2</w:t>
      </w:r>
      <w:r w:rsidR="003C0DF1" w:rsidRPr="003C0DF1">
        <w:t>3</w:t>
      </w:r>
      <w:r w:rsidR="0052338D" w:rsidRPr="003C0DF1">
        <w:t>.</w:t>
      </w:r>
    </w:p>
    <w:p w14:paraId="0C0B2B70" w14:textId="474EF0AE" w:rsidR="00E9286C" w:rsidRPr="00A60B01" w:rsidRDefault="00E9286C" w:rsidP="00810EDF">
      <w:pPr>
        <w:spacing w:line="360" w:lineRule="auto"/>
        <w:jc w:val="both"/>
      </w:pPr>
      <w:r w:rsidRPr="00A60B01">
        <w:t xml:space="preserve">Table </w:t>
      </w:r>
      <w:r w:rsidR="00934C91" w:rsidRPr="00A60B01">
        <w:t>10</w:t>
      </w:r>
      <w:r w:rsidRPr="00A60B01">
        <w:t xml:space="preserve"> </w:t>
      </w:r>
      <w:r w:rsidR="00170E02" w:rsidRPr="00A60B01">
        <w:t>provides a breakdown</w:t>
      </w:r>
      <w:r w:rsidRPr="00A60B01">
        <w:t xml:space="preserve"> </w:t>
      </w:r>
      <w:r w:rsidR="00170E02" w:rsidRPr="00A60B01">
        <w:t xml:space="preserve">of the total contributions </w:t>
      </w:r>
      <w:r w:rsidRPr="00A60B01">
        <w:t>received from S106 Contributions and the amoun</w:t>
      </w:r>
      <w:r w:rsidR="00170E02" w:rsidRPr="00A60B01">
        <w:t>t of Expenditure over the last financial year</w:t>
      </w:r>
      <w:r w:rsidRPr="00A60B01">
        <w:t xml:space="preserve">. </w:t>
      </w:r>
    </w:p>
    <w:tbl>
      <w:tblPr>
        <w:tblStyle w:val="TableGrid"/>
        <w:tblW w:w="9067" w:type="dxa"/>
        <w:tblLook w:val="04A0" w:firstRow="1" w:lastRow="0" w:firstColumn="1" w:lastColumn="0" w:noHBand="0" w:noVBand="1"/>
        <w:tblCaption w:val="Table 10. Overview of S106 Contributions 2021/212  (to the nearest £)"/>
        <w:tblDescription w:val="A breakdown of Section 106 collection and expenditure during the financial year 2021/22."/>
      </w:tblPr>
      <w:tblGrid>
        <w:gridCol w:w="2122"/>
        <w:gridCol w:w="2268"/>
        <w:gridCol w:w="2268"/>
        <w:gridCol w:w="2409"/>
      </w:tblGrid>
      <w:tr w:rsidR="00205BDF" w:rsidRPr="00205BDF" w14:paraId="1F305ADC" w14:textId="77777777" w:rsidTr="004D4B23">
        <w:trPr>
          <w:tblHeader/>
        </w:trPr>
        <w:tc>
          <w:tcPr>
            <w:tcW w:w="9067" w:type="dxa"/>
            <w:gridSpan w:val="4"/>
            <w:shd w:val="clear" w:color="auto" w:fill="000000" w:themeFill="text1"/>
          </w:tcPr>
          <w:p w14:paraId="238E250E" w14:textId="6CF7969E" w:rsidR="00E9286C" w:rsidRPr="00205BDF" w:rsidRDefault="00E9286C" w:rsidP="00934C91">
            <w:pPr>
              <w:spacing w:line="360" w:lineRule="auto"/>
              <w:rPr>
                <w:b/>
                <w:bCs/>
                <w:color w:val="FF0000"/>
              </w:rPr>
            </w:pPr>
            <w:r w:rsidRPr="00A60B01">
              <w:rPr>
                <w:b/>
                <w:bCs/>
              </w:rPr>
              <w:t xml:space="preserve">Table </w:t>
            </w:r>
            <w:r w:rsidR="00934C91" w:rsidRPr="00A60B01">
              <w:rPr>
                <w:b/>
                <w:bCs/>
              </w:rPr>
              <w:t>10</w:t>
            </w:r>
            <w:r w:rsidRPr="00A60B01">
              <w:rPr>
                <w:b/>
                <w:bCs/>
              </w:rPr>
              <w:t xml:space="preserve">. </w:t>
            </w:r>
            <w:r w:rsidR="00A302B2" w:rsidRPr="00A60B01">
              <w:rPr>
                <w:b/>
                <w:bCs/>
              </w:rPr>
              <w:t>Overview of</w:t>
            </w:r>
            <w:r w:rsidR="00170E02" w:rsidRPr="00A60B01">
              <w:rPr>
                <w:b/>
                <w:bCs/>
              </w:rPr>
              <w:t xml:space="preserve"> S106</w:t>
            </w:r>
            <w:r w:rsidR="00A302B2" w:rsidRPr="00A60B01">
              <w:rPr>
                <w:b/>
                <w:bCs/>
              </w:rPr>
              <w:t xml:space="preserve"> </w:t>
            </w:r>
            <w:r w:rsidR="00170E02" w:rsidRPr="00A60B01">
              <w:rPr>
                <w:b/>
                <w:bCs/>
              </w:rPr>
              <w:t>Contributions 202</w:t>
            </w:r>
            <w:r w:rsidR="00A60B01" w:rsidRPr="00A60B01">
              <w:rPr>
                <w:b/>
                <w:bCs/>
              </w:rPr>
              <w:t>2</w:t>
            </w:r>
            <w:r w:rsidR="00170E02" w:rsidRPr="00A60B01">
              <w:rPr>
                <w:b/>
                <w:bCs/>
              </w:rPr>
              <w:t>/2</w:t>
            </w:r>
            <w:r w:rsidR="00A60B01" w:rsidRPr="00A60B01">
              <w:rPr>
                <w:b/>
                <w:bCs/>
              </w:rPr>
              <w:t>3</w:t>
            </w:r>
            <w:r w:rsidR="00A302B2" w:rsidRPr="00A60B01">
              <w:rPr>
                <w:b/>
                <w:bCs/>
              </w:rPr>
              <w:t xml:space="preserve"> </w:t>
            </w:r>
            <w:r w:rsidR="004A1080" w:rsidRPr="00A60B01">
              <w:rPr>
                <w:b/>
                <w:bCs/>
              </w:rPr>
              <w:t>(to the nearest £)</w:t>
            </w:r>
          </w:p>
        </w:tc>
      </w:tr>
      <w:tr w:rsidR="00205BDF" w:rsidRPr="00205BDF" w14:paraId="29756EB2" w14:textId="5F28238A" w:rsidTr="00170E02">
        <w:trPr>
          <w:trHeight w:val="415"/>
        </w:trPr>
        <w:tc>
          <w:tcPr>
            <w:tcW w:w="4390" w:type="dxa"/>
            <w:gridSpan w:val="2"/>
            <w:shd w:val="clear" w:color="auto" w:fill="D9D9D9" w:themeFill="background1" w:themeFillShade="D9"/>
          </w:tcPr>
          <w:p w14:paraId="1C23EE30" w14:textId="4859DF99" w:rsidR="00170E02" w:rsidRPr="003C0DF1" w:rsidRDefault="00170E02" w:rsidP="00170E02">
            <w:pPr>
              <w:spacing w:line="360" w:lineRule="auto"/>
              <w:rPr>
                <w:b/>
              </w:rPr>
            </w:pPr>
            <w:r w:rsidRPr="003C0DF1">
              <w:rPr>
                <w:b/>
              </w:rPr>
              <w:t>Contributions Received</w:t>
            </w:r>
          </w:p>
        </w:tc>
        <w:tc>
          <w:tcPr>
            <w:tcW w:w="4677" w:type="dxa"/>
            <w:gridSpan w:val="2"/>
            <w:shd w:val="clear" w:color="auto" w:fill="D9D9D9" w:themeFill="background1" w:themeFillShade="D9"/>
          </w:tcPr>
          <w:p w14:paraId="21E84EB5" w14:textId="0A23BBB1" w:rsidR="00170E02" w:rsidRPr="003C0DF1" w:rsidRDefault="00170E02" w:rsidP="009C34C7">
            <w:pPr>
              <w:spacing w:line="360" w:lineRule="auto"/>
              <w:rPr>
                <w:b/>
              </w:rPr>
            </w:pPr>
            <w:r w:rsidRPr="003C0DF1">
              <w:rPr>
                <w:b/>
              </w:rPr>
              <w:t>Expenditure</w:t>
            </w:r>
          </w:p>
        </w:tc>
      </w:tr>
      <w:tr w:rsidR="00205BDF" w:rsidRPr="00205BDF" w14:paraId="220F87B4" w14:textId="20B0D4D6" w:rsidTr="00170E02">
        <w:tc>
          <w:tcPr>
            <w:tcW w:w="2122" w:type="dxa"/>
          </w:tcPr>
          <w:p w14:paraId="264AE3BD" w14:textId="07B7E7FF" w:rsidR="00170E02" w:rsidRPr="003C0DF1" w:rsidRDefault="00170E02" w:rsidP="009C34C7">
            <w:pPr>
              <w:spacing w:line="360" w:lineRule="auto"/>
              <w:rPr>
                <w:bCs/>
              </w:rPr>
            </w:pPr>
            <w:r w:rsidRPr="003C0DF1">
              <w:rPr>
                <w:bCs/>
              </w:rPr>
              <w:t>Capital</w:t>
            </w:r>
          </w:p>
        </w:tc>
        <w:tc>
          <w:tcPr>
            <w:tcW w:w="2268" w:type="dxa"/>
          </w:tcPr>
          <w:p w14:paraId="6BBE068F" w14:textId="1B7CA2E1" w:rsidR="00170E02" w:rsidRPr="003C0DF1" w:rsidRDefault="00170E02" w:rsidP="009C34C7">
            <w:pPr>
              <w:spacing w:line="360" w:lineRule="auto"/>
              <w:rPr>
                <w:bCs/>
              </w:rPr>
            </w:pPr>
            <w:r w:rsidRPr="003C0DF1">
              <w:rPr>
                <w:bCs/>
              </w:rPr>
              <w:t>Revenue</w:t>
            </w:r>
          </w:p>
        </w:tc>
        <w:tc>
          <w:tcPr>
            <w:tcW w:w="2268" w:type="dxa"/>
          </w:tcPr>
          <w:p w14:paraId="490E1EFF" w14:textId="23D81BF5" w:rsidR="00170E02" w:rsidRPr="003C0DF1" w:rsidRDefault="00170E02" w:rsidP="009C34C7">
            <w:pPr>
              <w:spacing w:line="360" w:lineRule="auto"/>
              <w:rPr>
                <w:bCs/>
              </w:rPr>
            </w:pPr>
            <w:r w:rsidRPr="003C0DF1">
              <w:rPr>
                <w:bCs/>
              </w:rPr>
              <w:t>Capital</w:t>
            </w:r>
          </w:p>
        </w:tc>
        <w:tc>
          <w:tcPr>
            <w:tcW w:w="2409" w:type="dxa"/>
          </w:tcPr>
          <w:p w14:paraId="3AE1DE33" w14:textId="5266362F" w:rsidR="00170E02" w:rsidRPr="003C0DF1" w:rsidRDefault="00170E02" w:rsidP="00170E02">
            <w:pPr>
              <w:spacing w:line="360" w:lineRule="auto"/>
              <w:rPr>
                <w:bCs/>
              </w:rPr>
            </w:pPr>
            <w:r w:rsidRPr="003C0DF1">
              <w:rPr>
                <w:bCs/>
              </w:rPr>
              <w:t>Revenue</w:t>
            </w:r>
          </w:p>
        </w:tc>
      </w:tr>
      <w:tr w:rsidR="0052338D" w:rsidRPr="00205BDF" w14:paraId="6CF4E631" w14:textId="20357CC1" w:rsidTr="00170E02">
        <w:tc>
          <w:tcPr>
            <w:tcW w:w="2122" w:type="dxa"/>
          </w:tcPr>
          <w:p w14:paraId="60594F88" w14:textId="036B1196" w:rsidR="0052338D" w:rsidRPr="003C0DF1" w:rsidRDefault="003C0DF1" w:rsidP="0052338D">
            <w:pPr>
              <w:spacing w:line="360" w:lineRule="auto"/>
              <w:rPr>
                <w:bCs/>
              </w:rPr>
            </w:pPr>
            <w:r w:rsidRPr="003C0DF1">
              <w:rPr>
                <w:rFonts w:cs="Arial"/>
                <w:szCs w:val="24"/>
              </w:rPr>
              <w:t>£</w:t>
            </w:r>
            <w:r w:rsidR="000142C1">
              <w:rPr>
                <w:rFonts w:cs="Arial"/>
                <w:szCs w:val="24"/>
              </w:rPr>
              <w:t>642,731</w:t>
            </w:r>
          </w:p>
        </w:tc>
        <w:tc>
          <w:tcPr>
            <w:tcW w:w="2268" w:type="dxa"/>
          </w:tcPr>
          <w:p w14:paraId="09720AAA" w14:textId="0E76FF8D" w:rsidR="0052338D" w:rsidRPr="003C0DF1" w:rsidRDefault="0052338D" w:rsidP="0052338D">
            <w:pPr>
              <w:spacing w:line="360" w:lineRule="auto"/>
              <w:rPr>
                <w:bCs/>
              </w:rPr>
            </w:pPr>
            <w:r w:rsidRPr="003C0DF1">
              <w:rPr>
                <w:rFonts w:cs="Arial"/>
                <w:szCs w:val="24"/>
              </w:rPr>
              <w:t>£</w:t>
            </w:r>
            <w:r w:rsidR="003C0DF1" w:rsidRPr="003C0DF1">
              <w:rPr>
                <w:rFonts w:cs="Arial"/>
                <w:szCs w:val="24"/>
              </w:rPr>
              <w:t>1</w:t>
            </w:r>
            <w:r w:rsidR="000142C1">
              <w:rPr>
                <w:rFonts w:cs="Arial"/>
                <w:szCs w:val="24"/>
              </w:rPr>
              <w:t>56,980</w:t>
            </w:r>
          </w:p>
        </w:tc>
        <w:tc>
          <w:tcPr>
            <w:tcW w:w="2268" w:type="dxa"/>
          </w:tcPr>
          <w:p w14:paraId="5D4CF8E2" w14:textId="35FB9C8E" w:rsidR="0052338D" w:rsidRPr="003C0DF1" w:rsidRDefault="0052338D" w:rsidP="0052338D">
            <w:pPr>
              <w:spacing w:line="360" w:lineRule="auto"/>
              <w:rPr>
                <w:bCs/>
              </w:rPr>
            </w:pPr>
            <w:r w:rsidRPr="003C0DF1">
              <w:rPr>
                <w:rFonts w:cs="Arial"/>
                <w:szCs w:val="24"/>
              </w:rPr>
              <w:t>£</w:t>
            </w:r>
            <w:r w:rsidR="003C0DF1" w:rsidRPr="003C0DF1">
              <w:rPr>
                <w:rFonts w:cs="Arial"/>
                <w:szCs w:val="24"/>
              </w:rPr>
              <w:t>280,058</w:t>
            </w:r>
          </w:p>
        </w:tc>
        <w:tc>
          <w:tcPr>
            <w:tcW w:w="2409" w:type="dxa"/>
          </w:tcPr>
          <w:p w14:paraId="3EFFB15C" w14:textId="2145ECE2" w:rsidR="0052338D" w:rsidRPr="003C0DF1" w:rsidRDefault="0052338D" w:rsidP="0052338D">
            <w:pPr>
              <w:spacing w:line="360" w:lineRule="auto"/>
              <w:rPr>
                <w:bCs/>
              </w:rPr>
            </w:pPr>
            <w:r w:rsidRPr="003C0DF1">
              <w:rPr>
                <w:rFonts w:cs="Arial"/>
                <w:szCs w:val="24"/>
              </w:rPr>
              <w:t>£</w:t>
            </w:r>
            <w:r w:rsidR="003C0DF1" w:rsidRPr="003C0DF1">
              <w:rPr>
                <w:rFonts w:cs="Arial"/>
                <w:szCs w:val="24"/>
              </w:rPr>
              <w:t>29,729</w:t>
            </w:r>
          </w:p>
        </w:tc>
      </w:tr>
    </w:tbl>
    <w:p w14:paraId="6BB652DA" w14:textId="77777777" w:rsidR="00406C04" w:rsidRPr="00205BDF" w:rsidRDefault="00406C04" w:rsidP="00406C04">
      <w:pPr>
        <w:pStyle w:val="NoSpacing"/>
        <w:rPr>
          <w:color w:val="FF0000"/>
        </w:rPr>
      </w:pPr>
    </w:p>
    <w:p w14:paraId="60AAEDEF" w14:textId="77777777" w:rsidR="00716103" w:rsidRDefault="00716103" w:rsidP="00810EDF">
      <w:pPr>
        <w:spacing w:line="360" w:lineRule="auto"/>
        <w:jc w:val="both"/>
        <w:rPr>
          <w:bCs/>
        </w:rPr>
      </w:pPr>
    </w:p>
    <w:p w14:paraId="212E6C0F" w14:textId="77777777" w:rsidR="00716103" w:rsidRDefault="00716103" w:rsidP="00810EDF">
      <w:pPr>
        <w:spacing w:line="360" w:lineRule="auto"/>
        <w:jc w:val="both"/>
        <w:rPr>
          <w:bCs/>
        </w:rPr>
      </w:pPr>
    </w:p>
    <w:p w14:paraId="5292E273" w14:textId="06366FFC" w:rsidR="001756C9" w:rsidRPr="001756C9" w:rsidRDefault="00382839" w:rsidP="00810EDF">
      <w:pPr>
        <w:spacing w:line="360" w:lineRule="auto"/>
        <w:jc w:val="both"/>
        <w:rPr>
          <w:bCs/>
        </w:rPr>
      </w:pPr>
      <w:r w:rsidRPr="001756C9">
        <w:rPr>
          <w:bCs/>
        </w:rPr>
        <w:lastRenderedPageBreak/>
        <w:t>Th</w:t>
      </w:r>
      <w:r w:rsidR="001756C9" w:rsidRPr="001756C9">
        <w:rPr>
          <w:bCs/>
        </w:rPr>
        <w:t>e figures above</w:t>
      </w:r>
      <w:r w:rsidRPr="001756C9">
        <w:rPr>
          <w:bCs/>
        </w:rPr>
        <w:t xml:space="preserve"> represent </w:t>
      </w:r>
      <w:r w:rsidR="001756C9" w:rsidRPr="001756C9">
        <w:rPr>
          <w:bCs/>
        </w:rPr>
        <w:t xml:space="preserve">a similar level of income in relation to Capital Contributions collected </w:t>
      </w:r>
      <w:r w:rsidRPr="001756C9">
        <w:rPr>
          <w:bCs/>
        </w:rPr>
        <w:t xml:space="preserve">during the </w:t>
      </w:r>
      <w:r w:rsidR="00A73D45" w:rsidRPr="001756C9">
        <w:rPr>
          <w:bCs/>
        </w:rPr>
        <w:t>last fiscal year</w:t>
      </w:r>
      <w:r w:rsidR="001756C9" w:rsidRPr="001756C9">
        <w:rPr>
          <w:bCs/>
        </w:rPr>
        <w:t xml:space="preserve"> whilst </w:t>
      </w:r>
      <w:r w:rsidR="0087234E" w:rsidRPr="001756C9">
        <w:rPr>
          <w:bCs/>
        </w:rPr>
        <w:t>Revenue</w:t>
      </w:r>
      <w:r w:rsidR="001756C9" w:rsidRPr="001756C9">
        <w:rPr>
          <w:bCs/>
        </w:rPr>
        <w:t xml:space="preserve"> Contributions were approximately doubled</w:t>
      </w:r>
      <w:r w:rsidR="00A73D45" w:rsidRPr="001756C9">
        <w:rPr>
          <w:bCs/>
        </w:rPr>
        <w:t>.</w:t>
      </w:r>
      <w:r w:rsidR="001756C9" w:rsidRPr="001756C9">
        <w:rPr>
          <w:bCs/>
        </w:rPr>
        <w:t xml:space="preserve"> In addition to this</w:t>
      </w:r>
      <w:r w:rsidR="000142C1">
        <w:rPr>
          <w:bCs/>
        </w:rPr>
        <w:t>,</w:t>
      </w:r>
      <w:r w:rsidR="001756C9" w:rsidRPr="001756C9">
        <w:rPr>
          <w:bCs/>
        </w:rPr>
        <w:t xml:space="preserve"> Capital Expenditure rose from £13,825 to £280,058, demonstrating the Councils commitment to ensuring delivery of infrastructure to </w:t>
      </w:r>
      <w:r w:rsidR="00A73D45" w:rsidRPr="001756C9">
        <w:rPr>
          <w:bCs/>
        </w:rPr>
        <w:t>mitigate the impacts of relevant development</w:t>
      </w:r>
      <w:r w:rsidR="001756C9" w:rsidRPr="001756C9">
        <w:rPr>
          <w:bCs/>
        </w:rPr>
        <w:t>.</w:t>
      </w:r>
    </w:p>
    <w:p w14:paraId="23C19F2A" w14:textId="221E5748" w:rsidR="00E9286C" w:rsidRPr="001756C9" w:rsidRDefault="00D91DF1" w:rsidP="00810EDF">
      <w:pPr>
        <w:spacing w:line="360" w:lineRule="auto"/>
        <w:jc w:val="both"/>
        <w:rPr>
          <w:b/>
          <w:bCs/>
        </w:rPr>
      </w:pPr>
      <w:r w:rsidRPr="001756C9">
        <w:rPr>
          <w:b/>
          <w:bCs/>
        </w:rPr>
        <w:t xml:space="preserve">Figure </w:t>
      </w:r>
      <w:r w:rsidR="00810EDF" w:rsidRPr="001756C9">
        <w:rPr>
          <w:b/>
          <w:bCs/>
        </w:rPr>
        <w:t>3</w:t>
      </w:r>
      <w:r w:rsidRPr="001756C9">
        <w:rPr>
          <w:b/>
          <w:bCs/>
        </w:rPr>
        <w:t xml:space="preserve">. </w:t>
      </w:r>
      <w:r w:rsidR="00B42796" w:rsidRPr="001756C9">
        <w:rPr>
          <w:b/>
          <w:bCs/>
        </w:rPr>
        <w:t>Annual</w:t>
      </w:r>
      <w:r w:rsidR="00141753" w:rsidRPr="001756C9">
        <w:rPr>
          <w:b/>
          <w:bCs/>
        </w:rPr>
        <w:t xml:space="preserve"> </w:t>
      </w:r>
      <w:r w:rsidR="0087234E" w:rsidRPr="001756C9">
        <w:rPr>
          <w:b/>
          <w:bCs/>
        </w:rPr>
        <w:t xml:space="preserve">Comparison of </w:t>
      </w:r>
      <w:r w:rsidR="00B42796" w:rsidRPr="001756C9">
        <w:rPr>
          <w:b/>
          <w:bCs/>
        </w:rPr>
        <w:t xml:space="preserve">S106 </w:t>
      </w:r>
      <w:r w:rsidR="0087234E" w:rsidRPr="001756C9">
        <w:rPr>
          <w:b/>
          <w:bCs/>
        </w:rPr>
        <w:t>Income and Expenditure</w:t>
      </w:r>
    </w:p>
    <w:p w14:paraId="793582A3" w14:textId="68CB8D23" w:rsidR="00B70945" w:rsidRDefault="000142C1" w:rsidP="00B70945">
      <w:pPr>
        <w:spacing w:line="360" w:lineRule="auto"/>
        <w:jc w:val="center"/>
        <w:rPr>
          <w:b/>
          <w:bCs/>
          <w:color w:val="FF0000"/>
        </w:rPr>
      </w:pPr>
      <w:r>
        <w:rPr>
          <w:noProof/>
        </w:rPr>
        <w:drawing>
          <wp:inline distT="0" distB="0" distL="0" distR="0" wp14:anchorId="63F265EF" wp14:editId="7BBA97E8">
            <wp:extent cx="5731510" cy="3422015"/>
            <wp:effectExtent l="0" t="0" r="2540" b="6985"/>
            <wp:docPr id="1259382799" name="Picture 1" descr="Figure 3. A graph displaying the difference between contributions received and expended in 2021/22 vs 20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382799" name="Picture 1" descr="Figure 3. A graph displaying the difference between contributions received and expended in 2021/22 vs 2022/22."/>
                    <pic:cNvPicPr/>
                  </pic:nvPicPr>
                  <pic:blipFill>
                    <a:blip r:embed="rId15"/>
                    <a:stretch>
                      <a:fillRect/>
                    </a:stretch>
                  </pic:blipFill>
                  <pic:spPr>
                    <a:xfrm>
                      <a:off x="0" y="0"/>
                      <a:ext cx="5731510" cy="3422015"/>
                    </a:xfrm>
                    <a:prstGeom prst="rect">
                      <a:avLst/>
                    </a:prstGeom>
                  </pic:spPr>
                </pic:pic>
              </a:graphicData>
            </a:graphic>
          </wp:inline>
        </w:drawing>
      </w:r>
    </w:p>
    <w:p w14:paraId="49C1B903" w14:textId="768765F4" w:rsidR="00516AC7" w:rsidRPr="00A60B01" w:rsidRDefault="00516AC7" w:rsidP="00810EDF">
      <w:pPr>
        <w:spacing w:line="360" w:lineRule="auto"/>
        <w:jc w:val="both"/>
        <w:rPr>
          <w:b/>
          <w:bCs/>
        </w:rPr>
      </w:pPr>
      <w:r w:rsidRPr="00A60B01">
        <w:rPr>
          <w:b/>
          <w:bCs/>
        </w:rPr>
        <w:t>3.3</w:t>
      </w:r>
      <w:r w:rsidRPr="00A60B01">
        <w:tab/>
      </w:r>
      <w:r w:rsidRPr="00A60B01">
        <w:rPr>
          <w:b/>
          <w:bCs/>
        </w:rPr>
        <w:t xml:space="preserve">Capital Contributions </w:t>
      </w:r>
      <w:r w:rsidR="00B70945" w:rsidRPr="00A60B01">
        <w:rPr>
          <w:b/>
          <w:bCs/>
        </w:rPr>
        <w:t>retained</w:t>
      </w:r>
      <w:r w:rsidRPr="00A60B01">
        <w:rPr>
          <w:b/>
          <w:bCs/>
        </w:rPr>
        <w:t xml:space="preserve"> at </w:t>
      </w:r>
      <w:r w:rsidR="004A212C" w:rsidRPr="00A60B01">
        <w:rPr>
          <w:b/>
          <w:bCs/>
        </w:rPr>
        <w:t>e</w:t>
      </w:r>
      <w:r w:rsidRPr="00A60B01">
        <w:rPr>
          <w:b/>
          <w:bCs/>
        </w:rPr>
        <w:t>nd</w:t>
      </w:r>
      <w:r w:rsidR="004A212C" w:rsidRPr="00A60B01">
        <w:rPr>
          <w:b/>
          <w:bCs/>
        </w:rPr>
        <w:t xml:space="preserve"> of Financial Year </w:t>
      </w:r>
      <w:r w:rsidR="00992685" w:rsidRPr="00A60B01">
        <w:rPr>
          <w:b/>
          <w:bCs/>
        </w:rPr>
        <w:t>20</w:t>
      </w:r>
      <w:r w:rsidR="00B42796" w:rsidRPr="00A60B01">
        <w:rPr>
          <w:b/>
          <w:bCs/>
        </w:rPr>
        <w:t>2</w:t>
      </w:r>
      <w:r w:rsidR="00A60B01" w:rsidRPr="00A60B01">
        <w:rPr>
          <w:b/>
          <w:bCs/>
        </w:rPr>
        <w:t>2</w:t>
      </w:r>
      <w:r w:rsidR="00B42796" w:rsidRPr="00A60B01">
        <w:rPr>
          <w:b/>
          <w:bCs/>
        </w:rPr>
        <w:t>/2</w:t>
      </w:r>
      <w:r w:rsidR="00A60B01" w:rsidRPr="00A60B01">
        <w:rPr>
          <w:b/>
          <w:bCs/>
        </w:rPr>
        <w:t>3</w:t>
      </w:r>
    </w:p>
    <w:p w14:paraId="7C7E028D" w14:textId="77777777" w:rsidR="00406C04" w:rsidRPr="00A60B01" w:rsidRDefault="00516AC7" w:rsidP="00810EDF">
      <w:pPr>
        <w:pStyle w:val="NormalIndent"/>
        <w:spacing w:line="360" w:lineRule="auto"/>
        <w:ind w:left="0" w:firstLine="0"/>
        <w:rPr>
          <w:sz w:val="24"/>
          <w:szCs w:val="22"/>
        </w:rPr>
      </w:pPr>
      <w:r w:rsidRPr="00A60B01">
        <w:rPr>
          <w:sz w:val="24"/>
          <w:szCs w:val="22"/>
        </w:rPr>
        <w:t>Contributions collected through a Section 106 agreement usually have a clause stating the timeframe in which the contribution is to be</w:t>
      </w:r>
      <w:r w:rsidR="00CD12AD" w:rsidRPr="00A60B01">
        <w:rPr>
          <w:sz w:val="24"/>
          <w:szCs w:val="22"/>
        </w:rPr>
        <w:t xml:space="preserve"> expended</w:t>
      </w:r>
      <w:r w:rsidRPr="00A60B01">
        <w:rPr>
          <w:sz w:val="24"/>
          <w:szCs w:val="22"/>
        </w:rPr>
        <w:t xml:space="preserve">.  Currently there are no S106 contributions which have exceeded the timeframe and plans are in place to ensure that the contributions are </w:t>
      </w:r>
      <w:r w:rsidR="00CD12AD" w:rsidRPr="00A60B01">
        <w:rPr>
          <w:sz w:val="24"/>
          <w:szCs w:val="22"/>
        </w:rPr>
        <w:t>expended</w:t>
      </w:r>
      <w:r w:rsidRPr="00A60B01">
        <w:rPr>
          <w:sz w:val="24"/>
          <w:szCs w:val="22"/>
        </w:rPr>
        <w:t xml:space="preserve"> prior to the repayment dates set.  </w:t>
      </w:r>
    </w:p>
    <w:p w14:paraId="27E37EEF" w14:textId="3C35F17C" w:rsidR="00516AC7" w:rsidRPr="00557F9B" w:rsidRDefault="00516AC7" w:rsidP="00810EDF">
      <w:pPr>
        <w:pStyle w:val="NormalIndent"/>
        <w:spacing w:line="360" w:lineRule="auto"/>
        <w:ind w:left="0" w:firstLine="0"/>
        <w:rPr>
          <w:sz w:val="24"/>
          <w:szCs w:val="22"/>
        </w:rPr>
      </w:pPr>
      <w:r w:rsidRPr="00A60B01">
        <w:rPr>
          <w:sz w:val="24"/>
          <w:szCs w:val="22"/>
        </w:rPr>
        <w:t xml:space="preserve">In the majority of S106 agreements the payback period is usually 10 years however </w:t>
      </w:r>
      <w:r w:rsidRPr="00557F9B">
        <w:rPr>
          <w:sz w:val="24"/>
          <w:szCs w:val="22"/>
        </w:rPr>
        <w:t>these clauses can range between 5 – 10 years.</w:t>
      </w:r>
    </w:p>
    <w:p w14:paraId="79F3BB1C" w14:textId="00313CE7" w:rsidR="00516AC7" w:rsidRDefault="009F151E" w:rsidP="00810EDF">
      <w:pPr>
        <w:spacing w:after="0"/>
        <w:jc w:val="both"/>
      </w:pPr>
      <w:r w:rsidRPr="00557F9B">
        <w:t xml:space="preserve">Table </w:t>
      </w:r>
      <w:r w:rsidR="003E47AA" w:rsidRPr="00557F9B">
        <w:t>1</w:t>
      </w:r>
      <w:r w:rsidR="00E71398" w:rsidRPr="00557F9B">
        <w:t>1</w:t>
      </w:r>
      <w:r w:rsidRPr="00557F9B">
        <w:t xml:space="preserve"> below details the Capital Contributions which have been retained at the end of the financial year 202</w:t>
      </w:r>
      <w:r w:rsidR="00557F9B" w:rsidRPr="00557F9B">
        <w:t>2</w:t>
      </w:r>
      <w:r w:rsidR="00B42796" w:rsidRPr="00557F9B">
        <w:t>/2</w:t>
      </w:r>
      <w:r w:rsidR="00557F9B" w:rsidRPr="00557F9B">
        <w:t>3</w:t>
      </w:r>
      <w:r w:rsidRPr="00557F9B">
        <w:t>. These monies</w:t>
      </w:r>
      <w:r w:rsidR="00516AC7" w:rsidRPr="00557F9B">
        <w:t xml:space="preserve"> have yet </w:t>
      </w:r>
      <w:r w:rsidRPr="00557F9B">
        <w:t xml:space="preserve">to be </w:t>
      </w:r>
      <w:r w:rsidR="00516AC7" w:rsidRPr="00557F9B">
        <w:t>allocated to a specific scheme or project.</w:t>
      </w:r>
    </w:p>
    <w:p w14:paraId="3A30C5A3" w14:textId="77777777" w:rsidR="000142C1" w:rsidRPr="00557F9B" w:rsidRDefault="000142C1" w:rsidP="00810EDF">
      <w:pPr>
        <w:spacing w:after="0"/>
        <w:jc w:val="both"/>
      </w:pPr>
    </w:p>
    <w:tbl>
      <w:tblPr>
        <w:tblW w:w="8907" w:type="dxa"/>
        <w:tblCellMar>
          <w:left w:w="0" w:type="dxa"/>
          <w:right w:w="0" w:type="dxa"/>
        </w:tblCellMar>
        <w:tblLook w:val="04A0" w:firstRow="1" w:lastRow="0" w:firstColumn="1" w:lastColumn="0" w:noHBand="0" w:noVBand="1"/>
      </w:tblPr>
      <w:tblGrid>
        <w:gridCol w:w="1583"/>
        <w:gridCol w:w="1415"/>
        <w:gridCol w:w="1226"/>
        <w:gridCol w:w="1659"/>
        <w:gridCol w:w="1560"/>
        <w:gridCol w:w="1464"/>
      </w:tblGrid>
      <w:tr w:rsidR="00205BDF" w:rsidRPr="00205BDF" w14:paraId="698FCA40" w14:textId="77777777" w:rsidTr="007E047A">
        <w:tc>
          <w:tcPr>
            <w:tcW w:w="8907" w:type="dxa"/>
            <w:gridSpan w:val="6"/>
            <w:tcBorders>
              <w:top w:val="single" w:sz="8" w:space="0" w:color="auto"/>
              <w:left w:val="single" w:sz="8" w:space="0" w:color="auto"/>
              <w:bottom w:val="single" w:sz="4" w:space="0" w:color="auto"/>
              <w:right w:val="single" w:sz="8" w:space="0" w:color="auto"/>
            </w:tcBorders>
            <w:shd w:val="clear" w:color="auto" w:fill="000000"/>
            <w:tcMar>
              <w:top w:w="0" w:type="dxa"/>
              <w:left w:w="108" w:type="dxa"/>
              <w:bottom w:w="0" w:type="dxa"/>
              <w:right w:w="108" w:type="dxa"/>
            </w:tcMar>
            <w:vAlign w:val="center"/>
            <w:hideMark/>
          </w:tcPr>
          <w:p w14:paraId="7CA1E309" w14:textId="17573A6C" w:rsidR="00E71398" w:rsidRPr="00205BDF" w:rsidRDefault="00E71398">
            <w:pPr>
              <w:pStyle w:val="NormalIndent"/>
              <w:spacing w:before="120" w:after="120" w:line="276" w:lineRule="auto"/>
              <w:ind w:left="0" w:firstLine="0"/>
              <w:jc w:val="left"/>
              <w:rPr>
                <w:b/>
                <w:bCs/>
                <w:color w:val="FF0000"/>
              </w:rPr>
            </w:pPr>
            <w:r w:rsidRPr="00A60B01">
              <w:rPr>
                <w:b/>
                <w:bCs/>
                <w:lang w:eastAsia="en-GB"/>
              </w:rPr>
              <w:lastRenderedPageBreak/>
              <w:t xml:space="preserve">Table 11. Capital Contributions held </w:t>
            </w:r>
            <w:r w:rsidR="00557F9B">
              <w:rPr>
                <w:b/>
                <w:bCs/>
                <w:lang w:eastAsia="en-GB"/>
              </w:rPr>
              <w:t xml:space="preserve">as of </w:t>
            </w:r>
            <w:r w:rsidRPr="00A60B01">
              <w:rPr>
                <w:b/>
                <w:bCs/>
                <w:lang w:eastAsia="en-GB"/>
              </w:rPr>
              <w:t>31</w:t>
            </w:r>
            <w:r w:rsidRPr="00A60B01">
              <w:rPr>
                <w:b/>
                <w:bCs/>
                <w:vertAlign w:val="superscript"/>
                <w:lang w:eastAsia="en-GB"/>
              </w:rPr>
              <w:t>st</w:t>
            </w:r>
            <w:r w:rsidR="004A1080" w:rsidRPr="00A60B01">
              <w:rPr>
                <w:b/>
                <w:bCs/>
                <w:lang w:eastAsia="en-GB"/>
              </w:rPr>
              <w:t xml:space="preserve"> March 202</w:t>
            </w:r>
            <w:r w:rsidR="00A60B01" w:rsidRPr="00A60B01">
              <w:rPr>
                <w:b/>
                <w:bCs/>
                <w:lang w:eastAsia="en-GB"/>
              </w:rPr>
              <w:t>3</w:t>
            </w:r>
            <w:r w:rsidR="004A1080" w:rsidRPr="00A60B01">
              <w:rPr>
                <w:b/>
                <w:bCs/>
                <w:lang w:eastAsia="en-GB"/>
              </w:rPr>
              <w:t xml:space="preserve"> </w:t>
            </w:r>
            <w:r w:rsidR="004A1080" w:rsidRPr="00A60B01">
              <w:rPr>
                <w:b/>
                <w:bCs/>
              </w:rPr>
              <w:t>(to the nearest £)</w:t>
            </w:r>
          </w:p>
        </w:tc>
      </w:tr>
      <w:tr w:rsidR="00205BDF" w:rsidRPr="00205BDF" w14:paraId="2B7C8DB7"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4C4EEE5D" w14:textId="77777777" w:rsidR="00E71398" w:rsidRPr="00557F9B" w:rsidRDefault="00E71398" w:rsidP="007E047A">
            <w:pPr>
              <w:pStyle w:val="NormalIndent"/>
              <w:spacing w:before="120" w:after="120" w:line="276" w:lineRule="auto"/>
              <w:ind w:left="0" w:firstLine="0"/>
              <w:jc w:val="center"/>
            </w:pPr>
            <w:r w:rsidRPr="00557F9B">
              <w:rPr>
                <w:b/>
                <w:bCs/>
                <w:lang w:eastAsia="en-GB"/>
              </w:rPr>
              <w:t>Site</w:t>
            </w:r>
          </w:p>
        </w:tc>
        <w:tc>
          <w:tcPr>
            <w:tcW w:w="141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0B1B3BF5" w14:textId="77777777" w:rsidR="00E71398" w:rsidRPr="00557F9B" w:rsidRDefault="00E71398" w:rsidP="007E047A">
            <w:pPr>
              <w:pStyle w:val="NormalIndent"/>
              <w:spacing w:before="120" w:after="120" w:line="276" w:lineRule="auto"/>
              <w:ind w:left="0" w:firstLine="0"/>
              <w:jc w:val="center"/>
            </w:pPr>
            <w:r w:rsidRPr="00557F9B">
              <w:rPr>
                <w:b/>
                <w:bCs/>
                <w:lang w:eastAsia="en-GB"/>
              </w:rPr>
              <w:t>Application Reference</w:t>
            </w:r>
          </w:p>
        </w:tc>
        <w:tc>
          <w:tcPr>
            <w:tcW w:w="12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ED7D523" w14:textId="77777777" w:rsidR="00E71398" w:rsidRPr="00557F9B" w:rsidRDefault="00E71398" w:rsidP="007E047A">
            <w:pPr>
              <w:pStyle w:val="NormalIndent"/>
              <w:spacing w:before="120" w:after="120" w:line="276" w:lineRule="auto"/>
              <w:ind w:left="0" w:firstLine="0"/>
              <w:jc w:val="center"/>
            </w:pPr>
            <w:r w:rsidRPr="00557F9B">
              <w:rPr>
                <w:b/>
                <w:bCs/>
                <w:lang w:eastAsia="en-GB"/>
              </w:rPr>
              <w:t>S106 Received</w:t>
            </w:r>
          </w:p>
        </w:tc>
        <w:tc>
          <w:tcPr>
            <w:tcW w:w="16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9185CDC" w14:textId="77777777" w:rsidR="00E71398" w:rsidRPr="00557F9B" w:rsidRDefault="00E71398" w:rsidP="007E047A">
            <w:pPr>
              <w:pStyle w:val="NormalIndent"/>
              <w:spacing w:before="120" w:after="120" w:line="276" w:lineRule="auto"/>
              <w:ind w:left="0" w:firstLine="0"/>
              <w:jc w:val="center"/>
            </w:pPr>
            <w:r w:rsidRPr="00557F9B">
              <w:rPr>
                <w:b/>
                <w:bCs/>
                <w:lang w:eastAsia="en-GB"/>
              </w:rPr>
              <w:t>Contributions Held</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6AF1FCB" w14:textId="77777777" w:rsidR="00E71398" w:rsidRPr="00557F9B" w:rsidRDefault="00E71398" w:rsidP="007E047A">
            <w:pPr>
              <w:pStyle w:val="NormalIndent"/>
              <w:spacing w:before="120" w:after="120" w:line="276" w:lineRule="auto"/>
              <w:ind w:left="0" w:firstLine="0"/>
              <w:jc w:val="center"/>
            </w:pPr>
            <w:r w:rsidRPr="00557F9B">
              <w:rPr>
                <w:b/>
                <w:bCs/>
                <w:lang w:eastAsia="en-GB"/>
              </w:rPr>
              <w:t>Provision</w:t>
            </w:r>
          </w:p>
        </w:tc>
        <w:tc>
          <w:tcPr>
            <w:tcW w:w="146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hideMark/>
          </w:tcPr>
          <w:p w14:paraId="2763673E" w14:textId="0A21B608" w:rsidR="00E71398" w:rsidRPr="00557F9B" w:rsidRDefault="00E71398" w:rsidP="007E047A">
            <w:pPr>
              <w:pStyle w:val="NormalIndent"/>
              <w:spacing w:before="120" w:after="120" w:line="276" w:lineRule="auto"/>
              <w:ind w:left="0" w:firstLine="0"/>
              <w:jc w:val="center"/>
            </w:pPr>
            <w:r w:rsidRPr="00557F9B">
              <w:rPr>
                <w:b/>
                <w:bCs/>
                <w:lang w:eastAsia="en-GB"/>
              </w:rPr>
              <w:t>Deadline</w:t>
            </w:r>
            <w:r w:rsidR="00557F9B" w:rsidRPr="00557F9B">
              <w:rPr>
                <w:b/>
                <w:bCs/>
                <w:lang w:eastAsia="en-GB"/>
              </w:rPr>
              <w:t xml:space="preserve"> </w:t>
            </w:r>
            <w:r w:rsidRPr="00557F9B">
              <w:rPr>
                <w:b/>
                <w:bCs/>
                <w:lang w:eastAsia="en-GB"/>
              </w:rPr>
              <w:t>for expenditure</w:t>
            </w:r>
          </w:p>
        </w:tc>
      </w:tr>
      <w:tr w:rsidR="00557F9B" w:rsidRPr="00205BDF" w14:paraId="7B8CC6CC" w14:textId="77777777" w:rsidTr="007E047A">
        <w:trPr>
          <w:trHeight w:val="567"/>
        </w:trPr>
        <w:tc>
          <w:tcPr>
            <w:tcW w:w="1583"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455774D" w14:textId="64267445"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Spring Lane</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DCEAC4D" w14:textId="778B0330"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2007/0748</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CB4CBF5" w14:textId="2B9647E5"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2014</w:t>
            </w:r>
          </w:p>
        </w:tc>
        <w:tc>
          <w:tcPr>
            <w:tcW w:w="16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F014281" w14:textId="1E045936"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£24,924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E613A28" w14:textId="3A657646"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Affordable Housing</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0114EE" w14:textId="3385DDC9"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2024</w:t>
            </w:r>
          </w:p>
        </w:tc>
      </w:tr>
      <w:tr w:rsidR="00557F9B" w:rsidRPr="00205BDF" w14:paraId="1D5F6213" w14:textId="77777777" w:rsidTr="007E047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B3863B" w14:textId="77777777" w:rsidR="00557F9B" w:rsidRPr="00557F9B" w:rsidRDefault="00557F9B" w:rsidP="007E047A">
            <w:pPr>
              <w:jc w:val="center"/>
              <w:rPr>
                <w:rFonts w:cs="Arial"/>
                <w:color w:val="FF0000"/>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3164AC" w14:textId="77777777" w:rsidR="00557F9B" w:rsidRPr="00557F9B" w:rsidRDefault="00557F9B" w:rsidP="007E047A">
            <w:pPr>
              <w:jc w:val="center"/>
              <w:rPr>
                <w:rFonts w:cs="Arial"/>
                <w:color w:val="FF0000"/>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EFC8CB" w14:textId="77777777" w:rsidR="00557F9B" w:rsidRPr="00557F9B" w:rsidRDefault="00557F9B" w:rsidP="007E047A">
            <w:pPr>
              <w:jc w:val="center"/>
              <w:rPr>
                <w:rFonts w:cs="Arial"/>
                <w:color w:val="FF0000"/>
                <w:sz w:val="20"/>
                <w:szCs w:val="20"/>
                <w:lang w:eastAsia="en-GB"/>
              </w:rPr>
            </w:pPr>
          </w:p>
        </w:tc>
        <w:tc>
          <w:tcPr>
            <w:tcW w:w="165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F6D0F6" w14:textId="03C99E86"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£11,863</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BB5691" w14:textId="07D26F64" w:rsidR="00557F9B" w:rsidRPr="00557F9B" w:rsidRDefault="00557F9B" w:rsidP="007E047A">
            <w:pPr>
              <w:jc w:val="center"/>
              <w:rPr>
                <w:rFonts w:cs="Arial"/>
                <w:color w:val="FF0000"/>
                <w:sz w:val="20"/>
                <w:szCs w:val="20"/>
                <w:lang w:eastAsia="en-GB"/>
              </w:rPr>
            </w:pPr>
            <w:r w:rsidRPr="00557F9B">
              <w:rPr>
                <w:rFonts w:cs="Arial"/>
                <w:sz w:val="20"/>
                <w:szCs w:val="20"/>
              </w:rPr>
              <w:t>Open Space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F4D369" w14:textId="77777777" w:rsidR="00557F9B" w:rsidRPr="00557F9B" w:rsidRDefault="00557F9B" w:rsidP="007E047A">
            <w:pPr>
              <w:jc w:val="center"/>
              <w:rPr>
                <w:rFonts w:cs="Arial"/>
                <w:color w:val="FF0000"/>
                <w:sz w:val="20"/>
                <w:szCs w:val="20"/>
                <w:lang w:eastAsia="en-GB"/>
              </w:rPr>
            </w:pPr>
          </w:p>
        </w:tc>
      </w:tr>
      <w:tr w:rsidR="00557F9B" w:rsidRPr="00205BDF" w14:paraId="61C63BE8"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76303B2" w14:textId="5F2A23FC"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Land Between Main St and Hollinwood</w:t>
            </w:r>
          </w:p>
        </w:tc>
        <w:tc>
          <w:tcPr>
            <w:tcW w:w="1415"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C91951D" w14:textId="719681AD"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2012/0941</w:t>
            </w:r>
          </w:p>
        </w:tc>
        <w:tc>
          <w:tcPr>
            <w:tcW w:w="1226"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8123E06" w14:textId="492B3918"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2019</w:t>
            </w:r>
          </w:p>
        </w:tc>
        <w:tc>
          <w:tcPr>
            <w:tcW w:w="1659"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0EE22068" w14:textId="41F8A28C" w:rsidR="00557F9B" w:rsidRPr="00557F9B" w:rsidRDefault="00557F9B" w:rsidP="007E047A">
            <w:pPr>
              <w:pStyle w:val="NormalIndent"/>
              <w:spacing w:before="120" w:after="120" w:line="276" w:lineRule="auto"/>
              <w:ind w:left="0" w:firstLine="0"/>
              <w:jc w:val="center"/>
              <w:rPr>
                <w:rFonts w:cs="Arial"/>
                <w:color w:val="FF0000"/>
                <w:sz w:val="20"/>
              </w:rPr>
            </w:pPr>
            <w:r w:rsidRPr="00557F9B">
              <w:rPr>
                <w:rFonts w:cs="Arial"/>
                <w:sz w:val="20"/>
              </w:rPr>
              <w:t>£99,536</w:t>
            </w:r>
          </w:p>
        </w:tc>
        <w:tc>
          <w:tcPr>
            <w:tcW w:w="1560"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1402006A" w14:textId="34EEC3E2"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Open Space</w:t>
            </w:r>
          </w:p>
        </w:tc>
        <w:tc>
          <w:tcPr>
            <w:tcW w:w="1464"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vAlign w:val="center"/>
          </w:tcPr>
          <w:p w14:paraId="2BD692B0" w14:textId="3A8E1E92"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2029</w:t>
            </w:r>
          </w:p>
        </w:tc>
      </w:tr>
      <w:tr w:rsidR="00557F9B" w:rsidRPr="00205BDF" w14:paraId="274C9511" w14:textId="77777777" w:rsidTr="007E047A">
        <w:trPr>
          <w:trHeight w:val="567"/>
        </w:trPr>
        <w:tc>
          <w:tcPr>
            <w:tcW w:w="158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6F42415A" w14:textId="6662E690"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Land at Wighay Road</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BD1FA5A" w14:textId="17F50C75"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2014/0950</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217E34D3" w14:textId="22BEA0FE"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2016</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01BD4C3C" w14:textId="69974B93"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£94,822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6225B82" w14:textId="36E892D0"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Open Space</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F1D6F87" w14:textId="3F094D70"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2026</w:t>
            </w:r>
          </w:p>
        </w:tc>
      </w:tr>
      <w:tr w:rsidR="00557F9B" w:rsidRPr="00205BDF" w14:paraId="0E59420A" w14:textId="77777777" w:rsidTr="007E047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FF6CF1" w14:textId="77777777" w:rsidR="00557F9B" w:rsidRPr="00557F9B" w:rsidRDefault="00557F9B" w:rsidP="007E047A">
            <w:pPr>
              <w:jc w:val="center"/>
              <w:rPr>
                <w:rFonts w:cs="Arial"/>
                <w:color w:val="FF0000"/>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032321" w14:textId="77777777" w:rsidR="00557F9B" w:rsidRPr="00557F9B" w:rsidRDefault="00557F9B" w:rsidP="007E047A">
            <w:pPr>
              <w:jc w:val="center"/>
              <w:rPr>
                <w:rFonts w:cs="Arial"/>
                <w:color w:val="FF0000"/>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79111" w14:textId="77777777" w:rsidR="00557F9B" w:rsidRPr="00557F9B" w:rsidRDefault="00557F9B" w:rsidP="007E047A">
            <w:pPr>
              <w:jc w:val="center"/>
              <w:rPr>
                <w:rFonts w:cs="Arial"/>
                <w:color w:val="FF0000"/>
                <w:sz w:val="20"/>
                <w:szCs w:val="20"/>
                <w:lang w:eastAsia="en-GB"/>
              </w:rPr>
            </w:pP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3434F81E" w14:textId="2A5698DF"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£560,567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6F1F608D" w14:textId="6B21A1B2"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Affordable Housing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C7F045" w14:textId="77777777" w:rsidR="00557F9B" w:rsidRPr="00557F9B" w:rsidRDefault="00557F9B" w:rsidP="007E047A">
            <w:pPr>
              <w:jc w:val="center"/>
              <w:rPr>
                <w:rFonts w:cs="Arial"/>
                <w:color w:val="FF0000"/>
                <w:sz w:val="20"/>
                <w:szCs w:val="20"/>
                <w:lang w:eastAsia="en-GB"/>
              </w:rPr>
            </w:pPr>
          </w:p>
        </w:tc>
      </w:tr>
      <w:tr w:rsidR="00557F9B" w:rsidRPr="00205BDF" w14:paraId="6AF82BDC" w14:textId="77777777" w:rsidTr="007E047A">
        <w:trPr>
          <w:trHeight w:val="56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72B3D" w14:textId="77777777" w:rsidR="00557F9B" w:rsidRPr="00557F9B" w:rsidRDefault="00557F9B" w:rsidP="007E047A">
            <w:pPr>
              <w:jc w:val="center"/>
              <w:rPr>
                <w:rFonts w:cs="Arial"/>
                <w:color w:val="FF0000"/>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528013" w14:textId="77777777" w:rsidR="00557F9B" w:rsidRPr="00557F9B" w:rsidRDefault="00557F9B" w:rsidP="007E047A">
            <w:pPr>
              <w:jc w:val="center"/>
              <w:rPr>
                <w:rFonts w:cs="Arial"/>
                <w:color w:val="FF0000"/>
                <w:sz w:val="20"/>
                <w:szCs w:val="20"/>
                <w:lang w:eastAsia="en-G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84C97" w14:textId="77777777" w:rsidR="00557F9B" w:rsidRPr="00557F9B" w:rsidRDefault="00557F9B" w:rsidP="007E047A">
            <w:pPr>
              <w:jc w:val="center"/>
              <w:rPr>
                <w:rFonts w:cs="Arial"/>
                <w:color w:val="FF0000"/>
                <w:sz w:val="20"/>
                <w:szCs w:val="20"/>
                <w:lang w:eastAsia="en-GB"/>
              </w:rPr>
            </w:pP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36F2813" w14:textId="6A2AD500"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£21,741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0A615E56" w14:textId="3F76DEAE"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Healthcare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6CBF6A" w14:textId="77777777" w:rsidR="00557F9B" w:rsidRPr="00557F9B" w:rsidRDefault="00557F9B" w:rsidP="007E047A">
            <w:pPr>
              <w:jc w:val="center"/>
              <w:rPr>
                <w:rFonts w:cs="Arial"/>
                <w:color w:val="FF0000"/>
                <w:sz w:val="20"/>
                <w:szCs w:val="20"/>
                <w:lang w:eastAsia="en-GB"/>
              </w:rPr>
            </w:pPr>
          </w:p>
        </w:tc>
      </w:tr>
      <w:tr w:rsidR="00557F9B" w:rsidRPr="00205BDF" w14:paraId="4D609188"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DB77568" w14:textId="768FD76B"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Land at Stockings Farm</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21FF292" w14:textId="757D1FFE"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2010/0437</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EA99212" w14:textId="522655E4"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2016</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7A559DDE" w14:textId="2DB54268"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£435,232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1964C0D" w14:textId="1E12408D"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DF0790C" w14:textId="538BF108"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2026</w:t>
            </w:r>
          </w:p>
        </w:tc>
      </w:tr>
      <w:tr w:rsidR="00557F9B" w:rsidRPr="00205BDF" w14:paraId="50E8564A"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0CBBF5E3" w14:textId="3FBED034" w:rsidR="00557F9B" w:rsidRPr="00557F9B" w:rsidRDefault="00557F9B" w:rsidP="007E047A">
            <w:pPr>
              <w:pStyle w:val="NormalIndent"/>
              <w:spacing w:before="120" w:after="120" w:line="276" w:lineRule="auto"/>
              <w:ind w:left="0" w:firstLine="0"/>
              <w:jc w:val="center"/>
              <w:rPr>
                <w:rFonts w:cs="Arial"/>
                <w:b/>
                <w:bCs/>
                <w:color w:val="FF0000"/>
                <w:sz w:val="20"/>
                <w:lang w:eastAsia="en-GB"/>
              </w:rPr>
            </w:pPr>
            <w:r w:rsidRPr="00557F9B">
              <w:rPr>
                <w:rFonts w:cs="Arial"/>
                <w:sz w:val="20"/>
              </w:rPr>
              <w:t xml:space="preserve">Bradstone Drive, </w:t>
            </w:r>
            <w:proofErr w:type="gramStart"/>
            <w:r w:rsidRPr="00557F9B">
              <w:rPr>
                <w:rFonts w:cs="Arial"/>
                <w:sz w:val="20"/>
              </w:rPr>
              <w:t>off Spring</w:t>
            </w:r>
            <w:proofErr w:type="gramEnd"/>
            <w:r w:rsidRPr="00557F9B">
              <w:rPr>
                <w:rFonts w:cs="Arial"/>
                <w:sz w:val="20"/>
              </w:rPr>
              <w:t xml:space="preserve"> Lane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21D4B306" w14:textId="1D6D669A" w:rsidR="00557F9B" w:rsidRPr="00557F9B" w:rsidRDefault="00557F9B" w:rsidP="007E047A">
            <w:pPr>
              <w:pStyle w:val="NormalIndent"/>
              <w:spacing w:before="120" w:after="120" w:line="276" w:lineRule="auto"/>
              <w:ind w:left="0" w:firstLine="0"/>
              <w:jc w:val="center"/>
              <w:rPr>
                <w:rFonts w:cs="Arial"/>
                <w:b/>
                <w:bCs/>
                <w:color w:val="FF0000"/>
                <w:sz w:val="20"/>
                <w:lang w:eastAsia="en-GB"/>
              </w:rPr>
            </w:pPr>
            <w:r w:rsidRPr="00557F9B">
              <w:rPr>
                <w:rFonts w:cs="Arial"/>
                <w:sz w:val="20"/>
              </w:rPr>
              <w:t>2014/0740</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7E4B170" w14:textId="4088BA05" w:rsidR="00557F9B" w:rsidRPr="00557F9B" w:rsidRDefault="00557F9B" w:rsidP="007E047A">
            <w:pPr>
              <w:pStyle w:val="NormalIndent"/>
              <w:spacing w:before="120" w:after="120" w:line="276" w:lineRule="auto"/>
              <w:ind w:left="0" w:firstLine="0"/>
              <w:jc w:val="center"/>
              <w:rPr>
                <w:rFonts w:cs="Arial"/>
                <w:b/>
                <w:bCs/>
                <w:color w:val="FF0000"/>
                <w:sz w:val="20"/>
                <w:lang w:eastAsia="en-GB"/>
              </w:rPr>
            </w:pPr>
            <w:r w:rsidRPr="00557F9B">
              <w:rPr>
                <w:rFonts w:cs="Arial"/>
                <w:sz w:val="20"/>
              </w:rPr>
              <w:t>2017</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1B7801BD" w14:textId="5339E314" w:rsidR="00557F9B" w:rsidRPr="00557F9B" w:rsidRDefault="00557F9B" w:rsidP="007E047A">
            <w:pPr>
              <w:jc w:val="center"/>
              <w:rPr>
                <w:rFonts w:cs="Arial"/>
                <w:color w:val="FF0000"/>
                <w:sz w:val="20"/>
                <w:szCs w:val="20"/>
                <w:lang w:eastAsia="en-GB"/>
              </w:rPr>
            </w:pPr>
            <w:r w:rsidRPr="00557F9B">
              <w:rPr>
                <w:rFonts w:cs="Arial"/>
                <w:sz w:val="20"/>
                <w:szCs w:val="20"/>
              </w:rPr>
              <w:t>£23,903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65E76070" w14:textId="3C43CB48" w:rsidR="00557F9B" w:rsidRPr="00557F9B" w:rsidRDefault="00557F9B" w:rsidP="007E047A">
            <w:pPr>
              <w:pStyle w:val="NormalIndent"/>
              <w:spacing w:before="120" w:after="120" w:line="276" w:lineRule="auto"/>
              <w:ind w:left="0" w:firstLine="0"/>
              <w:jc w:val="center"/>
              <w:rPr>
                <w:rFonts w:cs="Arial"/>
                <w:b/>
                <w:bCs/>
                <w:color w:val="FF0000"/>
                <w:sz w:val="20"/>
                <w:lang w:eastAsia="en-GB"/>
              </w:rPr>
            </w:pPr>
            <w:r w:rsidRPr="00557F9B">
              <w:rPr>
                <w:rFonts w:cs="Arial"/>
                <w:sz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86B8C0A" w14:textId="49061772" w:rsidR="00557F9B" w:rsidRPr="00557F9B" w:rsidRDefault="00557F9B" w:rsidP="007E047A">
            <w:pPr>
              <w:pStyle w:val="NormalIndent"/>
              <w:spacing w:before="120" w:after="120" w:line="276" w:lineRule="auto"/>
              <w:ind w:left="0" w:firstLine="0"/>
              <w:jc w:val="center"/>
              <w:rPr>
                <w:rFonts w:cs="Arial"/>
                <w:b/>
                <w:bCs/>
                <w:color w:val="FF0000"/>
                <w:sz w:val="20"/>
                <w:lang w:eastAsia="en-GB"/>
              </w:rPr>
            </w:pPr>
            <w:r w:rsidRPr="00557F9B">
              <w:rPr>
                <w:rFonts w:cs="Arial"/>
                <w:sz w:val="20"/>
              </w:rPr>
              <w:t>2027</w:t>
            </w:r>
          </w:p>
        </w:tc>
      </w:tr>
      <w:tr w:rsidR="00557F9B" w:rsidRPr="00205BDF" w14:paraId="2AE383CF" w14:textId="77777777" w:rsidTr="007E047A">
        <w:trPr>
          <w:trHeight w:val="567"/>
        </w:trPr>
        <w:tc>
          <w:tcPr>
            <w:tcW w:w="15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7C433C0E" w14:textId="63FFB39C"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Land North of Papplewick Lane, Linby</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A63E9DC" w14:textId="351CD339"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2013/1406</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60F71AB" w14:textId="030BBADE"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2017</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988714E" w14:textId="21DC2B20" w:rsidR="00557F9B" w:rsidRPr="00557F9B" w:rsidRDefault="00557F9B" w:rsidP="007E047A">
            <w:pPr>
              <w:jc w:val="center"/>
              <w:rPr>
                <w:rFonts w:cs="Arial"/>
                <w:color w:val="FF0000"/>
                <w:sz w:val="20"/>
                <w:szCs w:val="20"/>
                <w:lang w:eastAsia="en-GB"/>
              </w:rPr>
            </w:pPr>
            <w:r w:rsidRPr="00557F9B">
              <w:rPr>
                <w:rFonts w:cs="Arial"/>
                <w:sz w:val="20"/>
                <w:szCs w:val="20"/>
              </w:rPr>
              <w:t>£37,346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26FA26A" w14:textId="44AB2606"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FB6979F" w14:textId="1A48987D"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2027</w:t>
            </w:r>
          </w:p>
        </w:tc>
      </w:tr>
      <w:tr w:rsidR="00557F9B" w:rsidRPr="00205BDF" w14:paraId="07F6859F" w14:textId="77777777" w:rsidTr="007E047A">
        <w:trPr>
          <w:trHeight w:val="567"/>
        </w:trPr>
        <w:tc>
          <w:tcPr>
            <w:tcW w:w="158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250FBFF" w14:textId="2ADFDD54" w:rsidR="00557F9B" w:rsidRPr="00557F9B" w:rsidRDefault="00557F9B" w:rsidP="007E047A">
            <w:pPr>
              <w:pStyle w:val="NormalIndent"/>
              <w:spacing w:before="120" w:after="120" w:line="276" w:lineRule="auto"/>
              <w:ind w:left="0" w:firstLine="0"/>
              <w:jc w:val="center"/>
              <w:rPr>
                <w:rFonts w:cs="Arial"/>
                <w:color w:val="FF0000"/>
                <w:sz w:val="20"/>
                <w:lang w:eastAsia="en-GB"/>
              </w:rPr>
            </w:pPr>
          </w:p>
        </w:tc>
        <w:tc>
          <w:tcPr>
            <w:tcW w:w="14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7E036F0" w14:textId="4ACCB8F1" w:rsidR="00557F9B" w:rsidRPr="00557F9B" w:rsidRDefault="00557F9B" w:rsidP="007E047A">
            <w:pPr>
              <w:pStyle w:val="NormalIndent"/>
              <w:spacing w:before="120" w:after="120" w:line="276" w:lineRule="auto"/>
              <w:ind w:left="0" w:firstLine="0"/>
              <w:jc w:val="center"/>
              <w:rPr>
                <w:rFonts w:cs="Arial"/>
                <w:color w:val="FF0000"/>
                <w:sz w:val="20"/>
                <w:lang w:eastAsia="en-GB"/>
              </w:rPr>
            </w:pPr>
          </w:p>
        </w:tc>
        <w:tc>
          <w:tcPr>
            <w:tcW w:w="12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FA84BBD" w14:textId="5F689944" w:rsidR="00557F9B" w:rsidRPr="00557F9B" w:rsidRDefault="00557F9B" w:rsidP="007E047A">
            <w:pPr>
              <w:pStyle w:val="NormalIndent"/>
              <w:spacing w:before="120" w:after="120" w:line="276" w:lineRule="auto"/>
              <w:ind w:left="0" w:firstLine="0"/>
              <w:jc w:val="center"/>
              <w:rPr>
                <w:rFonts w:cs="Arial"/>
                <w:color w:val="FF0000"/>
                <w:sz w:val="20"/>
                <w:lang w:eastAsia="en-GB"/>
              </w:rPr>
            </w:pP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66E4E21" w14:textId="463300F6" w:rsidR="00557F9B" w:rsidRPr="00557F9B" w:rsidRDefault="00557F9B" w:rsidP="007E047A">
            <w:pPr>
              <w:jc w:val="center"/>
              <w:rPr>
                <w:rFonts w:cs="Arial"/>
                <w:color w:val="FF0000"/>
                <w:sz w:val="20"/>
                <w:szCs w:val="20"/>
                <w:lang w:eastAsia="en-GB"/>
              </w:rPr>
            </w:pPr>
            <w:r w:rsidRPr="00557F9B">
              <w:rPr>
                <w:rFonts w:cs="Arial"/>
                <w:sz w:val="20"/>
                <w:szCs w:val="20"/>
              </w:rPr>
              <w:t>£215,568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0B811DF" w14:textId="210BCCEE"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Affordable Housing</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0924F3D" w14:textId="0804E01E"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2028</w:t>
            </w:r>
          </w:p>
        </w:tc>
      </w:tr>
      <w:tr w:rsidR="00557F9B" w:rsidRPr="00205BDF" w14:paraId="722A3450" w14:textId="77777777" w:rsidTr="007E047A">
        <w:trPr>
          <w:trHeight w:val="567"/>
        </w:trPr>
        <w:tc>
          <w:tcPr>
            <w:tcW w:w="158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F6126F0" w14:textId="197313E6" w:rsidR="00557F9B" w:rsidRPr="00557F9B" w:rsidRDefault="00557F9B" w:rsidP="007E047A">
            <w:pPr>
              <w:pStyle w:val="NormalIndent"/>
              <w:spacing w:before="120" w:after="120" w:line="276" w:lineRule="auto"/>
              <w:ind w:left="0" w:firstLine="0"/>
              <w:jc w:val="center"/>
              <w:rPr>
                <w:rFonts w:cs="Arial"/>
                <w:color w:val="FF0000"/>
                <w:sz w:val="20"/>
                <w:lang w:eastAsia="en-GB"/>
              </w:rPr>
            </w:pPr>
          </w:p>
        </w:tc>
        <w:tc>
          <w:tcPr>
            <w:tcW w:w="14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D1FC04B" w14:textId="5A841DAB" w:rsidR="00557F9B" w:rsidRPr="00557F9B" w:rsidRDefault="00557F9B" w:rsidP="007E047A">
            <w:pPr>
              <w:pStyle w:val="NormalIndent"/>
              <w:spacing w:before="120" w:after="120" w:line="276" w:lineRule="auto"/>
              <w:ind w:left="0" w:firstLine="0"/>
              <w:jc w:val="center"/>
              <w:rPr>
                <w:rFonts w:cs="Arial"/>
                <w:color w:val="FF0000"/>
                <w:sz w:val="20"/>
                <w:lang w:eastAsia="en-GB"/>
              </w:rPr>
            </w:pPr>
          </w:p>
        </w:tc>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620E7DE" w14:textId="04982BEE"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2020</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76C1BB2" w14:textId="2F0634AD" w:rsidR="00557F9B" w:rsidRPr="00557F9B" w:rsidRDefault="00557F9B" w:rsidP="007E047A">
            <w:pPr>
              <w:jc w:val="center"/>
              <w:rPr>
                <w:rFonts w:cs="Arial"/>
                <w:color w:val="FF0000"/>
                <w:sz w:val="20"/>
                <w:szCs w:val="20"/>
                <w:lang w:eastAsia="en-GB"/>
              </w:rPr>
            </w:pPr>
            <w:r w:rsidRPr="00557F9B">
              <w:rPr>
                <w:rFonts w:cs="Arial"/>
                <w:sz w:val="20"/>
                <w:szCs w:val="20"/>
              </w:rPr>
              <w:t>£454,104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96F52A9" w14:textId="02859A69"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Affordable Housing</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EC2CC73" w14:textId="31C71436"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2030</w:t>
            </w:r>
          </w:p>
        </w:tc>
      </w:tr>
      <w:tr w:rsidR="00557F9B" w:rsidRPr="00205BDF" w14:paraId="57079D5F" w14:textId="77777777" w:rsidTr="007E047A">
        <w:trPr>
          <w:trHeight w:val="567"/>
        </w:trPr>
        <w:tc>
          <w:tcPr>
            <w:tcW w:w="158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671BABA" w14:textId="77777777" w:rsidR="00557F9B" w:rsidRPr="00557F9B" w:rsidRDefault="00557F9B" w:rsidP="007E047A">
            <w:pPr>
              <w:pStyle w:val="NormalIndent"/>
              <w:spacing w:before="120" w:after="120" w:line="276" w:lineRule="auto"/>
              <w:ind w:left="0" w:firstLine="0"/>
              <w:jc w:val="center"/>
              <w:rPr>
                <w:rFonts w:cs="Arial"/>
                <w:color w:val="FF0000"/>
                <w:sz w:val="20"/>
                <w:lang w:eastAsia="en-GB"/>
              </w:rPr>
            </w:pPr>
          </w:p>
        </w:tc>
        <w:tc>
          <w:tcPr>
            <w:tcW w:w="14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41565B5" w14:textId="77777777" w:rsidR="00557F9B" w:rsidRPr="00557F9B" w:rsidRDefault="00557F9B" w:rsidP="007E047A">
            <w:pPr>
              <w:pStyle w:val="NormalIndent"/>
              <w:spacing w:before="120" w:after="120" w:line="276" w:lineRule="auto"/>
              <w:ind w:left="0" w:firstLine="0"/>
              <w:jc w:val="center"/>
              <w:rPr>
                <w:rFonts w:cs="Arial"/>
                <w:color w:val="FF0000"/>
                <w:sz w:val="20"/>
                <w:lang w:eastAsia="en-GB"/>
              </w:rPr>
            </w:pPr>
          </w:p>
        </w:tc>
        <w:tc>
          <w:tcPr>
            <w:tcW w:w="12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3EBBF6D" w14:textId="77777777" w:rsidR="00557F9B" w:rsidRPr="00557F9B" w:rsidRDefault="00557F9B" w:rsidP="007E047A">
            <w:pPr>
              <w:pStyle w:val="NormalIndent"/>
              <w:spacing w:before="120" w:after="120" w:line="276" w:lineRule="auto"/>
              <w:ind w:left="0" w:firstLine="0"/>
              <w:jc w:val="center"/>
              <w:rPr>
                <w:rFonts w:cs="Arial"/>
                <w:color w:val="FF0000"/>
                <w:sz w:val="20"/>
                <w:lang w:eastAsia="en-GB"/>
              </w:rPr>
            </w:pP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61B76F1" w14:textId="07424A50" w:rsidR="00557F9B" w:rsidRPr="00557F9B" w:rsidRDefault="00557F9B" w:rsidP="007E047A">
            <w:pPr>
              <w:jc w:val="center"/>
              <w:rPr>
                <w:rFonts w:cs="Arial"/>
                <w:color w:val="FF0000"/>
                <w:sz w:val="20"/>
                <w:szCs w:val="20"/>
                <w:lang w:eastAsia="en-GB"/>
              </w:rPr>
            </w:pPr>
            <w:r w:rsidRPr="00557F9B">
              <w:rPr>
                <w:rFonts w:cs="Arial"/>
                <w:sz w:val="20"/>
                <w:szCs w:val="20"/>
              </w:rPr>
              <w:t>£81,739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6AEB3D3" w14:textId="745B0729"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73568EF" w14:textId="0D8BCA6C"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2030</w:t>
            </w:r>
          </w:p>
        </w:tc>
      </w:tr>
      <w:tr w:rsidR="00557F9B" w:rsidRPr="00205BDF" w14:paraId="4F77847A"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54455E4" w14:textId="4A2176C8"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Land Off Cavendish Road</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9A006C9" w14:textId="47ED21EB"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2014/0559</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6B3129B4" w14:textId="4A1E0DEA"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2017</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819D2AE" w14:textId="2B8598E3" w:rsidR="00557F9B" w:rsidRPr="00557F9B" w:rsidRDefault="00557F9B" w:rsidP="007E047A">
            <w:pPr>
              <w:jc w:val="center"/>
              <w:rPr>
                <w:rFonts w:cs="Arial"/>
                <w:color w:val="FF0000"/>
                <w:sz w:val="20"/>
                <w:szCs w:val="20"/>
                <w:lang w:eastAsia="en-GB"/>
              </w:rPr>
            </w:pPr>
            <w:r w:rsidRPr="00557F9B">
              <w:rPr>
                <w:rFonts w:cs="Arial"/>
                <w:sz w:val="20"/>
                <w:szCs w:val="20"/>
              </w:rPr>
              <w:t>£35,243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1B43373" w14:textId="21FF24BD"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Open Space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2926C59B" w14:textId="7D9EA189"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2027</w:t>
            </w:r>
          </w:p>
        </w:tc>
      </w:tr>
      <w:tr w:rsidR="00557F9B" w:rsidRPr="00205BDF" w14:paraId="54A05434"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051E0287" w14:textId="4C1EA9DC" w:rsidR="00557F9B" w:rsidRPr="00557F9B" w:rsidRDefault="00557F9B" w:rsidP="007E047A">
            <w:pPr>
              <w:jc w:val="center"/>
              <w:rPr>
                <w:rFonts w:cs="Arial"/>
                <w:color w:val="FF0000"/>
                <w:sz w:val="20"/>
                <w:szCs w:val="20"/>
                <w:lang w:eastAsia="en-GB"/>
              </w:rPr>
            </w:pPr>
            <w:r w:rsidRPr="00557F9B">
              <w:rPr>
                <w:rFonts w:cs="Arial"/>
                <w:sz w:val="20"/>
                <w:szCs w:val="20"/>
              </w:rPr>
              <w:t>Land at Teal Close, Netherfield</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B53A5D2" w14:textId="4889A789"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2013/0546</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030D4CA6" w14:textId="15B6891E"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2019</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0422A63" w14:textId="058780AE" w:rsidR="00557F9B" w:rsidRPr="00557F9B" w:rsidRDefault="00557F9B" w:rsidP="007E047A">
            <w:pPr>
              <w:jc w:val="center"/>
              <w:rPr>
                <w:rFonts w:cs="Arial"/>
                <w:color w:val="FF0000"/>
                <w:sz w:val="20"/>
                <w:szCs w:val="20"/>
                <w:lang w:eastAsia="en-GB"/>
              </w:rPr>
            </w:pPr>
            <w:r w:rsidRPr="00557F9B">
              <w:rPr>
                <w:rFonts w:cs="Arial"/>
                <w:sz w:val="20"/>
                <w:szCs w:val="20"/>
              </w:rPr>
              <w:t>£111,237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7560E6A4" w14:textId="186B17CC"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17D07C8" w14:textId="4B99871F"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2029</w:t>
            </w:r>
          </w:p>
        </w:tc>
      </w:tr>
      <w:tr w:rsidR="00557F9B" w:rsidRPr="00205BDF" w14:paraId="02DA475D" w14:textId="77777777" w:rsidTr="007E047A">
        <w:trPr>
          <w:trHeight w:val="567"/>
        </w:trPr>
        <w:tc>
          <w:tcPr>
            <w:tcW w:w="158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25CB32D9" w14:textId="7553C66F" w:rsidR="00557F9B" w:rsidRPr="00557F9B" w:rsidRDefault="00557F9B" w:rsidP="007E047A">
            <w:pPr>
              <w:jc w:val="center"/>
              <w:rPr>
                <w:rFonts w:cs="Arial"/>
                <w:color w:val="FF0000"/>
                <w:sz w:val="20"/>
                <w:szCs w:val="20"/>
                <w:lang w:eastAsia="en-GB"/>
              </w:rPr>
            </w:pPr>
            <w:r w:rsidRPr="00557F9B">
              <w:rPr>
                <w:rFonts w:cs="Arial"/>
                <w:sz w:val="20"/>
                <w:szCs w:val="20"/>
              </w:rPr>
              <w:t>Land West of Westhouse Farm</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F6A6E25" w14:textId="0D32F960"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2014/0238</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31106DF0" w14:textId="41A7CF7E"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2019</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E566AA0" w14:textId="0E048312" w:rsidR="00557F9B" w:rsidRPr="00557F9B" w:rsidRDefault="00557F9B" w:rsidP="007E047A">
            <w:pPr>
              <w:jc w:val="center"/>
              <w:rPr>
                <w:rFonts w:cs="Arial"/>
                <w:color w:val="FF0000"/>
                <w:sz w:val="20"/>
                <w:szCs w:val="20"/>
                <w:lang w:eastAsia="en-GB"/>
              </w:rPr>
            </w:pPr>
            <w:r w:rsidRPr="00557F9B">
              <w:rPr>
                <w:rFonts w:cs="Arial"/>
                <w:sz w:val="20"/>
                <w:szCs w:val="20"/>
              </w:rPr>
              <w:t>£27,818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34455F2E" w14:textId="4DE2BEEA"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6461467E" w14:textId="69C0ADEE"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2029</w:t>
            </w:r>
          </w:p>
        </w:tc>
      </w:tr>
      <w:tr w:rsidR="00557F9B" w:rsidRPr="00205BDF" w14:paraId="758D5E36" w14:textId="77777777" w:rsidTr="007E047A">
        <w:trPr>
          <w:trHeight w:val="567"/>
        </w:trPr>
        <w:tc>
          <w:tcPr>
            <w:tcW w:w="158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0199F8A" w14:textId="2606F9F7" w:rsidR="00557F9B" w:rsidRPr="00557F9B" w:rsidRDefault="00557F9B" w:rsidP="007E047A">
            <w:pPr>
              <w:jc w:val="center"/>
              <w:rPr>
                <w:rFonts w:cs="Arial"/>
                <w:color w:val="FF0000"/>
                <w:sz w:val="20"/>
                <w:szCs w:val="20"/>
                <w:lang w:eastAsia="en-GB"/>
              </w:rPr>
            </w:pPr>
          </w:p>
        </w:tc>
        <w:tc>
          <w:tcPr>
            <w:tcW w:w="141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20A2DAC" w14:textId="60EE0371" w:rsidR="00557F9B" w:rsidRPr="00557F9B" w:rsidRDefault="00557F9B" w:rsidP="007E047A">
            <w:pPr>
              <w:pStyle w:val="NormalIndent"/>
              <w:spacing w:before="120" w:after="120" w:line="276" w:lineRule="auto"/>
              <w:ind w:left="0" w:firstLine="0"/>
              <w:jc w:val="center"/>
              <w:rPr>
                <w:rFonts w:cs="Arial"/>
                <w:color w:val="FF0000"/>
                <w:sz w:val="20"/>
                <w:lang w:eastAsia="en-GB"/>
              </w:rPr>
            </w:pP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B8716B3" w14:textId="0DA3FE5E"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2021</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87E91D7" w14:textId="3917F220" w:rsidR="00557F9B" w:rsidRPr="00557F9B" w:rsidRDefault="00557F9B" w:rsidP="007E047A">
            <w:pPr>
              <w:jc w:val="center"/>
              <w:rPr>
                <w:rFonts w:cs="Arial"/>
                <w:color w:val="FF0000"/>
                <w:sz w:val="20"/>
                <w:szCs w:val="20"/>
                <w:lang w:eastAsia="en-GB"/>
              </w:rPr>
            </w:pPr>
            <w:r w:rsidRPr="00557F9B">
              <w:rPr>
                <w:rFonts w:cs="Arial"/>
                <w:sz w:val="20"/>
                <w:szCs w:val="20"/>
              </w:rPr>
              <w:t>£164,831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AADC385" w14:textId="1B633D99"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Open Space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73273B2" w14:textId="0C8388F7"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2031</w:t>
            </w:r>
          </w:p>
        </w:tc>
      </w:tr>
      <w:tr w:rsidR="00557F9B" w:rsidRPr="00205BDF" w14:paraId="53CE11A1" w14:textId="77777777" w:rsidTr="007E047A">
        <w:trPr>
          <w:trHeight w:val="567"/>
        </w:trPr>
        <w:tc>
          <w:tcPr>
            <w:tcW w:w="158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6950B69" w14:textId="77777777" w:rsidR="00557F9B" w:rsidRPr="00557F9B" w:rsidRDefault="00557F9B" w:rsidP="007E047A">
            <w:pPr>
              <w:jc w:val="center"/>
              <w:rPr>
                <w:rFonts w:cs="Arial"/>
                <w:color w:val="FF0000"/>
                <w:sz w:val="20"/>
                <w:szCs w:val="20"/>
                <w:lang w:eastAsia="en-GB"/>
              </w:rPr>
            </w:pPr>
          </w:p>
        </w:tc>
        <w:tc>
          <w:tcPr>
            <w:tcW w:w="141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EE3A7F1" w14:textId="77777777" w:rsidR="00557F9B" w:rsidRPr="00557F9B" w:rsidRDefault="00557F9B" w:rsidP="007E047A">
            <w:pPr>
              <w:pStyle w:val="NormalIndent"/>
              <w:spacing w:before="120" w:after="120" w:line="276" w:lineRule="auto"/>
              <w:ind w:left="0" w:firstLine="0"/>
              <w:jc w:val="center"/>
              <w:rPr>
                <w:rFonts w:cs="Arial"/>
                <w:color w:val="FF0000"/>
                <w:sz w:val="20"/>
                <w:lang w:eastAsia="en-GB"/>
              </w:rPr>
            </w:pP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EAE9881" w14:textId="43CE07FF" w:rsidR="00557F9B" w:rsidRPr="00557F9B" w:rsidRDefault="00557F9B" w:rsidP="007E047A">
            <w:pPr>
              <w:pStyle w:val="NormalIndent"/>
              <w:spacing w:before="120" w:after="120" w:line="276" w:lineRule="auto"/>
              <w:ind w:left="0" w:firstLine="0"/>
              <w:jc w:val="center"/>
              <w:rPr>
                <w:rFonts w:cs="Arial"/>
                <w:color w:val="FF0000"/>
                <w:sz w:val="20"/>
              </w:rPr>
            </w:pPr>
            <w:r w:rsidRPr="00557F9B">
              <w:rPr>
                <w:rFonts w:cs="Arial"/>
                <w:sz w:val="20"/>
              </w:rPr>
              <w:t>2021</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B1D3912" w14:textId="204B3C65" w:rsidR="00557F9B" w:rsidRPr="00557F9B" w:rsidRDefault="00557F9B" w:rsidP="007E047A">
            <w:pPr>
              <w:jc w:val="center"/>
              <w:rPr>
                <w:rFonts w:cs="Arial"/>
                <w:color w:val="FF0000"/>
                <w:sz w:val="20"/>
                <w:szCs w:val="20"/>
              </w:rPr>
            </w:pPr>
            <w:r w:rsidRPr="00557F9B">
              <w:rPr>
                <w:rFonts w:cs="Arial"/>
                <w:sz w:val="20"/>
                <w:szCs w:val="20"/>
              </w:rPr>
              <w:t>£54,939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B2347D3" w14:textId="40E79691" w:rsidR="00557F9B" w:rsidRPr="00557F9B" w:rsidRDefault="00557F9B" w:rsidP="007E047A">
            <w:pPr>
              <w:pStyle w:val="NormalIndent"/>
              <w:spacing w:before="120" w:after="120" w:line="276" w:lineRule="auto"/>
              <w:ind w:left="0" w:firstLine="0"/>
              <w:jc w:val="center"/>
              <w:rPr>
                <w:rFonts w:cs="Arial"/>
                <w:color w:val="FF0000"/>
                <w:sz w:val="20"/>
              </w:rPr>
            </w:pPr>
            <w:r w:rsidRPr="00557F9B">
              <w:rPr>
                <w:rFonts w:cs="Arial"/>
                <w:sz w:val="20"/>
              </w:rPr>
              <w:t>Open Space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3872CC9" w14:textId="748B5472" w:rsidR="00557F9B" w:rsidRPr="00557F9B" w:rsidRDefault="00557F9B" w:rsidP="007E047A">
            <w:pPr>
              <w:pStyle w:val="NormalIndent"/>
              <w:spacing w:before="120" w:after="120" w:line="276" w:lineRule="auto"/>
              <w:ind w:left="0" w:firstLine="0"/>
              <w:jc w:val="center"/>
              <w:rPr>
                <w:rFonts w:cs="Arial"/>
                <w:color w:val="FF0000"/>
                <w:sz w:val="20"/>
              </w:rPr>
            </w:pPr>
            <w:r w:rsidRPr="00557F9B">
              <w:rPr>
                <w:rFonts w:cs="Arial"/>
                <w:sz w:val="20"/>
              </w:rPr>
              <w:t>2031</w:t>
            </w:r>
          </w:p>
        </w:tc>
      </w:tr>
      <w:tr w:rsidR="00557F9B" w:rsidRPr="00205BDF" w14:paraId="6B83272E"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7D67D32" w14:textId="74968B37" w:rsidR="00557F9B" w:rsidRPr="00557F9B" w:rsidRDefault="00557F9B" w:rsidP="007E047A">
            <w:pPr>
              <w:jc w:val="center"/>
              <w:rPr>
                <w:rFonts w:cs="Arial"/>
                <w:color w:val="FF0000"/>
                <w:sz w:val="20"/>
                <w:szCs w:val="20"/>
                <w:lang w:eastAsia="en-GB"/>
              </w:rPr>
            </w:pPr>
            <w:r w:rsidRPr="00557F9B">
              <w:rPr>
                <w:rFonts w:cs="Arial"/>
                <w:sz w:val="20"/>
                <w:szCs w:val="20"/>
              </w:rPr>
              <w:t>Land west of Beeston Close, Bestwood</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A8DCE6B" w14:textId="7E10978A"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2017/0194</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D349DE3" w14:textId="56613FF5"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2020</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0699DE17" w14:textId="756C22A6" w:rsidR="00557F9B" w:rsidRPr="00557F9B" w:rsidRDefault="00557F9B" w:rsidP="007E047A">
            <w:pPr>
              <w:jc w:val="center"/>
              <w:rPr>
                <w:rFonts w:cs="Arial"/>
                <w:color w:val="FF0000"/>
                <w:sz w:val="20"/>
                <w:szCs w:val="20"/>
                <w:lang w:eastAsia="en-GB"/>
              </w:rPr>
            </w:pPr>
            <w:r w:rsidRPr="00557F9B">
              <w:rPr>
                <w:rFonts w:cs="Arial"/>
                <w:sz w:val="20"/>
                <w:szCs w:val="20"/>
              </w:rPr>
              <w:t>£36,251</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57E9DCEA" w14:textId="798E3CB7"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Open Space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1CCDE91" w14:textId="2F224B65"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2030</w:t>
            </w:r>
          </w:p>
        </w:tc>
      </w:tr>
      <w:tr w:rsidR="00557F9B" w:rsidRPr="00205BDF" w14:paraId="6AF67012"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21830CFE" w14:textId="6298523E" w:rsidR="00557F9B" w:rsidRPr="00557F9B" w:rsidRDefault="00557F9B" w:rsidP="007E047A">
            <w:pPr>
              <w:jc w:val="center"/>
              <w:rPr>
                <w:rFonts w:cs="Arial"/>
                <w:color w:val="FF0000"/>
                <w:sz w:val="20"/>
                <w:szCs w:val="20"/>
                <w:lang w:eastAsia="en-GB"/>
              </w:rPr>
            </w:pPr>
            <w:r w:rsidRPr="00557F9B">
              <w:rPr>
                <w:rFonts w:cs="Arial"/>
                <w:sz w:val="20"/>
                <w:szCs w:val="20"/>
              </w:rPr>
              <w:t xml:space="preserve">Bradstone Drive, </w:t>
            </w:r>
            <w:proofErr w:type="gramStart"/>
            <w:r w:rsidRPr="00557F9B">
              <w:rPr>
                <w:rFonts w:cs="Arial"/>
                <w:sz w:val="20"/>
                <w:szCs w:val="20"/>
              </w:rPr>
              <w:t>off Spring</w:t>
            </w:r>
            <w:proofErr w:type="gramEnd"/>
            <w:r w:rsidRPr="00557F9B">
              <w:rPr>
                <w:rFonts w:cs="Arial"/>
                <w:sz w:val="20"/>
                <w:szCs w:val="20"/>
              </w:rPr>
              <w:t xml:space="preserve"> Lane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3B963AB9" w14:textId="4A047BE9"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2014/0740</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0D57ABDE" w14:textId="4483469B"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2020</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7692342" w14:textId="425B982D" w:rsidR="00557F9B" w:rsidRPr="00557F9B" w:rsidRDefault="00557F9B" w:rsidP="007E047A">
            <w:pPr>
              <w:jc w:val="center"/>
              <w:rPr>
                <w:rFonts w:cs="Arial"/>
                <w:color w:val="FF0000"/>
                <w:sz w:val="20"/>
                <w:szCs w:val="20"/>
                <w:lang w:eastAsia="en-GB"/>
              </w:rPr>
            </w:pPr>
            <w:r w:rsidRPr="00557F9B">
              <w:rPr>
                <w:rFonts w:cs="Arial"/>
                <w:sz w:val="20"/>
                <w:szCs w:val="20"/>
              </w:rPr>
              <w:t>£22,692</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177AA359" w14:textId="78832E86"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6D95749" w14:textId="27C161A1"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2030</w:t>
            </w:r>
          </w:p>
        </w:tc>
      </w:tr>
      <w:tr w:rsidR="00557F9B" w:rsidRPr="00205BDF" w14:paraId="4995BCDD"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0B36599B" w14:textId="4AEBF32B" w:rsidR="00557F9B" w:rsidRPr="00557F9B" w:rsidRDefault="00557F9B" w:rsidP="007E047A">
            <w:pPr>
              <w:jc w:val="center"/>
              <w:rPr>
                <w:rFonts w:cs="Arial"/>
                <w:color w:val="FF0000"/>
                <w:sz w:val="20"/>
                <w:szCs w:val="20"/>
                <w:lang w:eastAsia="en-GB"/>
              </w:rPr>
            </w:pPr>
            <w:r w:rsidRPr="00557F9B">
              <w:rPr>
                <w:rFonts w:cs="Arial"/>
                <w:sz w:val="20"/>
                <w:szCs w:val="20"/>
              </w:rPr>
              <w:t>Land to the West of Mapperley Plain</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F18348C" w14:textId="2002B504"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2019/0213</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EA4C344" w14:textId="1904E77C"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2020</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1E3CA77" w14:textId="36F708D3" w:rsidR="00557F9B" w:rsidRPr="00557F9B" w:rsidRDefault="00557F9B" w:rsidP="007E047A">
            <w:pPr>
              <w:jc w:val="center"/>
              <w:rPr>
                <w:rFonts w:cs="Arial"/>
                <w:color w:val="FF0000"/>
                <w:sz w:val="20"/>
                <w:szCs w:val="20"/>
                <w:lang w:eastAsia="en-GB"/>
              </w:rPr>
            </w:pPr>
            <w:r w:rsidRPr="00557F9B">
              <w:rPr>
                <w:rFonts w:cs="Arial"/>
                <w:sz w:val="20"/>
                <w:szCs w:val="20"/>
              </w:rPr>
              <w:t>£44,434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0ADB0B01" w14:textId="1647C430"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041DBB1" w14:textId="1D1A85FD" w:rsidR="00557F9B" w:rsidRPr="00557F9B" w:rsidRDefault="00557F9B"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2030</w:t>
            </w:r>
          </w:p>
        </w:tc>
      </w:tr>
      <w:tr w:rsidR="00557F9B" w:rsidRPr="00205BDF" w14:paraId="3FF587D4" w14:textId="77777777" w:rsidTr="007E047A">
        <w:trPr>
          <w:trHeight w:val="567"/>
        </w:trPr>
        <w:tc>
          <w:tcPr>
            <w:tcW w:w="158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107B4088" w14:textId="2D6AA89D" w:rsidR="00557F9B" w:rsidRPr="00557F9B" w:rsidRDefault="00557F9B" w:rsidP="007E047A">
            <w:pPr>
              <w:jc w:val="center"/>
              <w:rPr>
                <w:rFonts w:cs="Arial"/>
                <w:color w:val="FF0000"/>
                <w:sz w:val="20"/>
                <w:szCs w:val="20"/>
                <w:lang w:eastAsia="en-GB"/>
              </w:rPr>
            </w:pPr>
            <w:r w:rsidRPr="00557F9B">
              <w:rPr>
                <w:rFonts w:cs="Arial"/>
                <w:sz w:val="20"/>
                <w:szCs w:val="20"/>
              </w:rPr>
              <w:t>Rolleston Drive</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63675781" w14:textId="1C1AAEAC" w:rsidR="00557F9B" w:rsidRPr="00557F9B" w:rsidRDefault="00557F9B" w:rsidP="007E047A">
            <w:pPr>
              <w:jc w:val="center"/>
              <w:rPr>
                <w:rFonts w:cs="Arial"/>
                <w:color w:val="FF0000"/>
                <w:sz w:val="20"/>
                <w:szCs w:val="20"/>
              </w:rPr>
            </w:pPr>
            <w:r w:rsidRPr="00557F9B">
              <w:rPr>
                <w:rFonts w:cs="Arial"/>
                <w:sz w:val="20"/>
                <w:szCs w:val="20"/>
              </w:rPr>
              <w:t>2020/1054</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0E94CF40" w14:textId="438A420A" w:rsidR="00557F9B" w:rsidRPr="00557F9B" w:rsidRDefault="00557F9B" w:rsidP="007E047A">
            <w:pPr>
              <w:jc w:val="center"/>
              <w:rPr>
                <w:rFonts w:cs="Arial"/>
                <w:color w:val="FF0000"/>
                <w:sz w:val="20"/>
                <w:szCs w:val="20"/>
              </w:rPr>
            </w:pPr>
            <w:r w:rsidRPr="00557F9B">
              <w:rPr>
                <w:rFonts w:cs="Arial"/>
                <w:sz w:val="20"/>
                <w:szCs w:val="20"/>
              </w:rPr>
              <w:t>2021</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DDF867D" w14:textId="68C1DB67" w:rsidR="00557F9B" w:rsidRPr="00557F9B" w:rsidRDefault="00557F9B" w:rsidP="007E047A">
            <w:pPr>
              <w:jc w:val="center"/>
              <w:rPr>
                <w:rFonts w:cs="Arial"/>
                <w:color w:val="FF0000"/>
                <w:sz w:val="20"/>
                <w:szCs w:val="20"/>
              </w:rPr>
            </w:pPr>
            <w:r w:rsidRPr="00557F9B">
              <w:rPr>
                <w:rFonts w:cs="Arial"/>
                <w:sz w:val="20"/>
                <w:szCs w:val="20"/>
              </w:rPr>
              <w:t>£250,688</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03376B1D" w14:textId="6EBA83BF" w:rsidR="00557F9B" w:rsidRPr="00557F9B" w:rsidRDefault="00557F9B" w:rsidP="007E047A">
            <w:pPr>
              <w:jc w:val="center"/>
              <w:rPr>
                <w:rFonts w:cs="Arial"/>
                <w:color w:val="FF0000"/>
                <w:sz w:val="20"/>
                <w:szCs w:val="20"/>
              </w:rPr>
            </w:pPr>
            <w:r w:rsidRPr="00557F9B">
              <w:rPr>
                <w:rFonts w:cs="Arial"/>
                <w:sz w:val="20"/>
                <w:szCs w:val="20"/>
              </w:rPr>
              <w:t>Education</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0014FB33" w14:textId="02584668" w:rsidR="00557F9B" w:rsidRPr="00557F9B" w:rsidRDefault="00557F9B" w:rsidP="007E047A">
            <w:pPr>
              <w:jc w:val="center"/>
              <w:rPr>
                <w:rFonts w:cs="Arial"/>
                <w:color w:val="FF0000"/>
                <w:sz w:val="20"/>
                <w:szCs w:val="20"/>
              </w:rPr>
            </w:pPr>
            <w:r w:rsidRPr="00557F9B">
              <w:rPr>
                <w:rFonts w:cs="Arial"/>
                <w:sz w:val="20"/>
                <w:szCs w:val="20"/>
              </w:rPr>
              <w:t>2031</w:t>
            </w:r>
          </w:p>
        </w:tc>
      </w:tr>
      <w:tr w:rsidR="00557F9B" w:rsidRPr="00205BDF" w14:paraId="24054BED" w14:textId="77777777" w:rsidTr="007E047A">
        <w:trPr>
          <w:trHeight w:val="567"/>
        </w:trPr>
        <w:tc>
          <w:tcPr>
            <w:tcW w:w="158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968B89C" w14:textId="3F56D5A9" w:rsidR="00557F9B" w:rsidRPr="00557F9B" w:rsidRDefault="00557F9B" w:rsidP="007E047A">
            <w:pPr>
              <w:jc w:val="center"/>
              <w:rPr>
                <w:rFonts w:cs="Arial"/>
                <w:color w:val="FF0000"/>
                <w:sz w:val="20"/>
                <w:szCs w:val="20"/>
              </w:rPr>
            </w:pPr>
          </w:p>
        </w:tc>
        <w:tc>
          <w:tcPr>
            <w:tcW w:w="141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17F1775" w14:textId="1EB2759D" w:rsidR="00557F9B" w:rsidRPr="00557F9B" w:rsidRDefault="00557F9B" w:rsidP="007E047A">
            <w:pPr>
              <w:jc w:val="center"/>
              <w:rPr>
                <w:rFonts w:cs="Arial"/>
                <w:color w:val="FF0000"/>
                <w:sz w:val="20"/>
                <w:szCs w:val="20"/>
              </w:rPr>
            </w:pPr>
          </w:p>
        </w:tc>
        <w:tc>
          <w:tcPr>
            <w:tcW w:w="122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3B3B4BB" w14:textId="25253016" w:rsidR="00557F9B" w:rsidRPr="00557F9B" w:rsidRDefault="00557F9B" w:rsidP="007E047A">
            <w:pPr>
              <w:jc w:val="center"/>
              <w:rPr>
                <w:rFonts w:cs="Arial"/>
                <w:color w:val="FF0000"/>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0291983" w14:textId="635E5A17" w:rsidR="00557F9B" w:rsidRPr="00557F9B" w:rsidRDefault="00557F9B" w:rsidP="007E047A">
            <w:pPr>
              <w:jc w:val="center"/>
              <w:rPr>
                <w:rFonts w:cs="Arial"/>
                <w:color w:val="FF0000"/>
                <w:sz w:val="20"/>
                <w:szCs w:val="20"/>
              </w:rPr>
            </w:pPr>
            <w:r w:rsidRPr="00557F9B">
              <w:rPr>
                <w:rFonts w:cs="Arial"/>
                <w:sz w:val="20"/>
                <w:szCs w:val="20"/>
              </w:rPr>
              <w:t>£25,000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3C49D8A" w14:textId="3146F963" w:rsidR="00557F9B" w:rsidRPr="00557F9B" w:rsidRDefault="00557F9B" w:rsidP="007E047A">
            <w:pPr>
              <w:jc w:val="center"/>
              <w:rPr>
                <w:rFonts w:cs="Arial"/>
                <w:color w:val="FF0000"/>
                <w:sz w:val="20"/>
                <w:szCs w:val="20"/>
              </w:rPr>
            </w:pPr>
            <w:r w:rsidRPr="00557F9B">
              <w:rPr>
                <w:rFonts w:cs="Arial"/>
                <w:sz w:val="20"/>
                <w:szCs w:val="20"/>
              </w:rPr>
              <w:t>Bus Stop</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8DCA726" w14:textId="6A0E2F2F" w:rsidR="00557F9B" w:rsidRPr="00557F9B" w:rsidRDefault="00557F9B" w:rsidP="007E047A">
            <w:pPr>
              <w:jc w:val="center"/>
              <w:rPr>
                <w:rFonts w:cs="Arial"/>
                <w:color w:val="FF0000"/>
                <w:sz w:val="20"/>
                <w:szCs w:val="20"/>
              </w:rPr>
            </w:pPr>
            <w:r w:rsidRPr="00557F9B">
              <w:rPr>
                <w:rFonts w:cs="Arial"/>
                <w:sz w:val="20"/>
                <w:szCs w:val="20"/>
              </w:rPr>
              <w:t>2031</w:t>
            </w:r>
          </w:p>
        </w:tc>
      </w:tr>
      <w:tr w:rsidR="00557F9B" w:rsidRPr="00205BDF" w14:paraId="75BF4178" w14:textId="77777777" w:rsidTr="007E047A">
        <w:trPr>
          <w:trHeight w:val="567"/>
        </w:trPr>
        <w:tc>
          <w:tcPr>
            <w:tcW w:w="158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A3E84E2" w14:textId="055F93EE" w:rsidR="00557F9B" w:rsidRPr="00557F9B" w:rsidRDefault="00557F9B" w:rsidP="007E047A">
            <w:pPr>
              <w:jc w:val="center"/>
              <w:rPr>
                <w:rFonts w:cs="Arial"/>
                <w:color w:val="FF0000"/>
                <w:sz w:val="20"/>
                <w:szCs w:val="20"/>
              </w:rPr>
            </w:pPr>
          </w:p>
        </w:tc>
        <w:tc>
          <w:tcPr>
            <w:tcW w:w="141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B7CBE5F" w14:textId="6518D992" w:rsidR="00557F9B" w:rsidRPr="00557F9B" w:rsidRDefault="00557F9B" w:rsidP="007E047A">
            <w:pPr>
              <w:jc w:val="center"/>
              <w:rPr>
                <w:rFonts w:cs="Arial"/>
                <w:color w:val="FF0000"/>
                <w:sz w:val="20"/>
                <w:szCs w:val="20"/>
              </w:rPr>
            </w:pPr>
          </w:p>
        </w:tc>
        <w:tc>
          <w:tcPr>
            <w:tcW w:w="122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BA02E7D" w14:textId="014F9522" w:rsidR="00557F9B" w:rsidRPr="00557F9B" w:rsidRDefault="00557F9B" w:rsidP="007E047A">
            <w:pPr>
              <w:jc w:val="center"/>
              <w:rPr>
                <w:rFonts w:cs="Arial"/>
                <w:color w:val="FF0000"/>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1B241B13" w14:textId="369B80B6" w:rsidR="00557F9B" w:rsidRPr="00557F9B" w:rsidRDefault="00557F9B" w:rsidP="007E047A">
            <w:pPr>
              <w:jc w:val="center"/>
              <w:rPr>
                <w:rFonts w:cs="Arial"/>
                <w:color w:val="FF0000"/>
                <w:sz w:val="20"/>
                <w:szCs w:val="20"/>
              </w:rPr>
            </w:pPr>
            <w:r w:rsidRPr="00557F9B">
              <w:rPr>
                <w:rFonts w:cs="Arial"/>
                <w:sz w:val="20"/>
                <w:szCs w:val="20"/>
              </w:rPr>
              <w:t>£35,493</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32F5B14" w14:textId="1A891098" w:rsidR="00557F9B" w:rsidRPr="00557F9B" w:rsidRDefault="00557F9B" w:rsidP="007E047A">
            <w:pPr>
              <w:jc w:val="center"/>
              <w:rPr>
                <w:rFonts w:cs="Arial"/>
                <w:color w:val="FF0000"/>
                <w:sz w:val="20"/>
                <w:szCs w:val="20"/>
              </w:rPr>
            </w:pPr>
            <w:r w:rsidRPr="00557F9B">
              <w:rPr>
                <w:rFonts w:cs="Arial"/>
                <w:sz w:val="20"/>
                <w:szCs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5AC5EA6D" w14:textId="31FBDBAE" w:rsidR="00557F9B" w:rsidRPr="00557F9B" w:rsidRDefault="00557F9B" w:rsidP="007E047A">
            <w:pPr>
              <w:jc w:val="center"/>
              <w:rPr>
                <w:rFonts w:cs="Arial"/>
                <w:color w:val="FF0000"/>
                <w:sz w:val="20"/>
                <w:szCs w:val="20"/>
              </w:rPr>
            </w:pPr>
            <w:r w:rsidRPr="00557F9B">
              <w:rPr>
                <w:rFonts w:cs="Arial"/>
                <w:sz w:val="20"/>
                <w:szCs w:val="20"/>
              </w:rPr>
              <w:t>2031</w:t>
            </w:r>
          </w:p>
        </w:tc>
      </w:tr>
      <w:tr w:rsidR="00557F9B" w:rsidRPr="00205BDF" w14:paraId="69FB5923"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53F8BAF" w14:textId="54810860" w:rsidR="00557F9B" w:rsidRPr="00557F9B" w:rsidRDefault="00557F9B" w:rsidP="007E047A">
            <w:pPr>
              <w:jc w:val="center"/>
              <w:rPr>
                <w:rFonts w:cs="Arial"/>
                <w:color w:val="FF0000"/>
                <w:sz w:val="20"/>
                <w:szCs w:val="20"/>
              </w:rPr>
            </w:pPr>
            <w:r w:rsidRPr="00557F9B">
              <w:rPr>
                <w:rFonts w:cs="Arial"/>
                <w:sz w:val="20"/>
                <w:szCs w:val="20"/>
              </w:rPr>
              <w:t>96 Plans Road Mapperley</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1DE926A" w14:textId="150F3C6E" w:rsidR="00557F9B" w:rsidRPr="00557F9B" w:rsidRDefault="00557F9B" w:rsidP="007E047A">
            <w:pPr>
              <w:jc w:val="center"/>
              <w:rPr>
                <w:rFonts w:cs="Arial"/>
                <w:color w:val="FF0000"/>
                <w:sz w:val="20"/>
                <w:szCs w:val="20"/>
              </w:rPr>
            </w:pPr>
            <w:r w:rsidRPr="00557F9B">
              <w:rPr>
                <w:rFonts w:cs="Arial"/>
                <w:sz w:val="20"/>
                <w:szCs w:val="20"/>
              </w:rPr>
              <w:t>2021/0737</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2A3BE2E" w14:textId="55A34CFB" w:rsidR="00557F9B" w:rsidRPr="00557F9B" w:rsidRDefault="00557F9B" w:rsidP="007E047A">
            <w:pPr>
              <w:jc w:val="center"/>
              <w:rPr>
                <w:rFonts w:cs="Arial"/>
                <w:color w:val="FF0000"/>
                <w:sz w:val="20"/>
                <w:szCs w:val="20"/>
              </w:rPr>
            </w:pPr>
            <w:r w:rsidRPr="00557F9B">
              <w:rPr>
                <w:rFonts w:cs="Arial"/>
                <w:sz w:val="20"/>
                <w:szCs w:val="20"/>
              </w:rPr>
              <w:t>2021</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1EC3C41A" w14:textId="7A59DF1B" w:rsidR="00557F9B" w:rsidRPr="00557F9B" w:rsidRDefault="00557F9B" w:rsidP="007E047A">
            <w:pPr>
              <w:jc w:val="center"/>
              <w:rPr>
                <w:rFonts w:cs="Arial"/>
                <w:color w:val="FF0000"/>
                <w:sz w:val="20"/>
                <w:szCs w:val="20"/>
              </w:rPr>
            </w:pPr>
            <w:r w:rsidRPr="00557F9B">
              <w:rPr>
                <w:rFonts w:cs="Arial"/>
                <w:sz w:val="20"/>
                <w:szCs w:val="20"/>
              </w:rPr>
              <w:t>£17,636</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5746E7AB" w14:textId="4464AA63" w:rsidR="00557F9B" w:rsidRPr="00557F9B" w:rsidRDefault="00557F9B" w:rsidP="007E047A">
            <w:pPr>
              <w:jc w:val="center"/>
              <w:rPr>
                <w:rFonts w:cs="Arial"/>
                <w:color w:val="FF0000"/>
                <w:sz w:val="20"/>
                <w:szCs w:val="20"/>
              </w:rPr>
            </w:pPr>
            <w:r w:rsidRPr="00557F9B">
              <w:rPr>
                <w:rFonts w:cs="Arial"/>
                <w:sz w:val="20"/>
                <w:szCs w:val="20"/>
              </w:rPr>
              <w:t>Open Space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56327D3C" w14:textId="6ABCDDA3" w:rsidR="00557F9B" w:rsidRPr="00557F9B" w:rsidRDefault="00557F9B" w:rsidP="007E047A">
            <w:pPr>
              <w:jc w:val="center"/>
              <w:rPr>
                <w:rFonts w:cs="Arial"/>
                <w:color w:val="FF0000"/>
                <w:sz w:val="20"/>
                <w:szCs w:val="20"/>
              </w:rPr>
            </w:pPr>
            <w:r w:rsidRPr="00557F9B">
              <w:rPr>
                <w:rFonts w:cs="Arial"/>
                <w:sz w:val="20"/>
                <w:szCs w:val="20"/>
              </w:rPr>
              <w:t>2031</w:t>
            </w:r>
          </w:p>
        </w:tc>
      </w:tr>
      <w:tr w:rsidR="007E047A" w:rsidRPr="00205BDF" w14:paraId="4FA1B47A"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5C6E8A0" w14:textId="0FDA5567" w:rsidR="007E047A" w:rsidRPr="007E047A" w:rsidRDefault="007E047A" w:rsidP="007E047A">
            <w:pPr>
              <w:jc w:val="center"/>
              <w:rPr>
                <w:rFonts w:cs="Arial"/>
                <w:color w:val="FF0000"/>
                <w:sz w:val="20"/>
                <w:szCs w:val="20"/>
              </w:rPr>
            </w:pPr>
            <w:r w:rsidRPr="00557F9B">
              <w:rPr>
                <w:rFonts w:cs="Arial"/>
                <w:sz w:val="20"/>
                <w:szCs w:val="20"/>
              </w:rPr>
              <w:t>84-86 Chapel Lane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AD70CE7" w14:textId="17ACAA48" w:rsidR="007E047A" w:rsidRPr="007E047A" w:rsidRDefault="007E047A" w:rsidP="007E047A">
            <w:pPr>
              <w:jc w:val="center"/>
              <w:rPr>
                <w:rFonts w:cs="Arial"/>
                <w:color w:val="FF0000"/>
                <w:sz w:val="20"/>
                <w:szCs w:val="20"/>
              </w:rPr>
            </w:pPr>
            <w:r w:rsidRPr="00557F9B">
              <w:rPr>
                <w:rFonts w:cs="Arial"/>
                <w:sz w:val="20"/>
                <w:szCs w:val="20"/>
              </w:rPr>
              <w:t>2019/0770</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716DE67" w14:textId="361D6400" w:rsidR="007E047A" w:rsidRPr="007E047A" w:rsidRDefault="007E047A" w:rsidP="007E047A">
            <w:pPr>
              <w:jc w:val="center"/>
              <w:rPr>
                <w:rFonts w:cs="Arial"/>
                <w:color w:val="FF0000"/>
                <w:sz w:val="20"/>
                <w:szCs w:val="20"/>
              </w:rPr>
            </w:pPr>
            <w:r w:rsidRPr="00557F9B">
              <w:rPr>
                <w:rFonts w:cs="Arial"/>
                <w:sz w:val="20"/>
                <w:szCs w:val="20"/>
              </w:rPr>
              <w:t>2021</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35EB8CA" w14:textId="50BFFB3D" w:rsidR="007E047A" w:rsidRPr="00557F9B" w:rsidRDefault="007E047A" w:rsidP="007E047A">
            <w:pPr>
              <w:jc w:val="center"/>
              <w:rPr>
                <w:rFonts w:cs="Arial"/>
                <w:sz w:val="20"/>
                <w:szCs w:val="20"/>
              </w:rPr>
            </w:pPr>
            <w:r w:rsidRPr="00557F9B">
              <w:rPr>
                <w:rFonts w:cs="Arial"/>
                <w:sz w:val="20"/>
                <w:szCs w:val="20"/>
              </w:rPr>
              <w:t>£30,359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3E3C6AB" w14:textId="2600FEF6" w:rsidR="007E047A" w:rsidRPr="00557F9B" w:rsidRDefault="007E047A" w:rsidP="007E047A">
            <w:pPr>
              <w:jc w:val="center"/>
              <w:rPr>
                <w:rFonts w:cs="Arial"/>
                <w:sz w:val="20"/>
                <w:szCs w:val="20"/>
              </w:rPr>
            </w:pPr>
            <w:r w:rsidRPr="00557F9B">
              <w:rPr>
                <w:rFonts w:cs="Arial"/>
                <w:sz w:val="20"/>
                <w:szCs w:val="20"/>
              </w:rPr>
              <w:t>Open Space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4496B2F" w14:textId="5E5E4C49" w:rsidR="007E047A" w:rsidRPr="00557F9B" w:rsidRDefault="007E047A" w:rsidP="007E047A">
            <w:pPr>
              <w:jc w:val="center"/>
              <w:rPr>
                <w:rFonts w:cs="Arial"/>
                <w:sz w:val="20"/>
                <w:szCs w:val="20"/>
              </w:rPr>
            </w:pPr>
            <w:r w:rsidRPr="00557F9B">
              <w:rPr>
                <w:rFonts w:cs="Arial"/>
                <w:sz w:val="20"/>
                <w:szCs w:val="20"/>
              </w:rPr>
              <w:t>2031</w:t>
            </w:r>
          </w:p>
        </w:tc>
      </w:tr>
      <w:tr w:rsidR="007E047A" w:rsidRPr="00205BDF" w14:paraId="6204A9A1" w14:textId="77777777" w:rsidTr="007E047A">
        <w:trPr>
          <w:trHeight w:val="567"/>
        </w:trPr>
        <w:tc>
          <w:tcPr>
            <w:tcW w:w="1583"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A977498" w14:textId="55067A5E" w:rsidR="007E047A" w:rsidRPr="00557F9B" w:rsidRDefault="007E047A" w:rsidP="007E047A">
            <w:pPr>
              <w:jc w:val="center"/>
              <w:rPr>
                <w:rFonts w:cs="Arial"/>
                <w:color w:val="FF0000"/>
                <w:sz w:val="20"/>
                <w:szCs w:val="20"/>
              </w:rPr>
            </w:pPr>
            <w:r w:rsidRPr="00557F9B">
              <w:rPr>
                <w:rFonts w:cs="Arial"/>
                <w:sz w:val="20"/>
                <w:szCs w:val="20"/>
              </w:rPr>
              <w:t>Dark Lane</w:t>
            </w:r>
          </w:p>
        </w:tc>
        <w:tc>
          <w:tcPr>
            <w:tcW w:w="141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F60E61A" w14:textId="3077701D" w:rsidR="007E047A" w:rsidRPr="00557F9B" w:rsidRDefault="007E047A" w:rsidP="007E047A">
            <w:pPr>
              <w:jc w:val="center"/>
              <w:rPr>
                <w:rFonts w:cs="Arial"/>
                <w:color w:val="FF0000"/>
                <w:sz w:val="20"/>
                <w:szCs w:val="20"/>
              </w:rPr>
            </w:pPr>
            <w:r w:rsidRPr="00557F9B">
              <w:rPr>
                <w:rFonts w:cs="Arial"/>
                <w:sz w:val="20"/>
                <w:szCs w:val="20"/>
              </w:rPr>
              <w:t>2017/1263</w:t>
            </w:r>
          </w:p>
        </w:tc>
        <w:tc>
          <w:tcPr>
            <w:tcW w:w="122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53684916" w14:textId="2362E11C" w:rsidR="007E047A" w:rsidRPr="00557F9B" w:rsidRDefault="007E047A" w:rsidP="007E047A">
            <w:pPr>
              <w:jc w:val="center"/>
              <w:rPr>
                <w:rFonts w:cs="Arial"/>
                <w:color w:val="FF0000"/>
                <w:sz w:val="20"/>
                <w:szCs w:val="20"/>
              </w:rPr>
            </w:pPr>
            <w:r w:rsidRPr="00557F9B">
              <w:rPr>
                <w:rFonts w:cs="Arial"/>
                <w:sz w:val="20"/>
                <w:szCs w:val="20"/>
              </w:rPr>
              <w:t>2021</w:t>
            </w:r>
          </w:p>
        </w:tc>
        <w:tc>
          <w:tcPr>
            <w:tcW w:w="1659" w:type="dxa"/>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2C8C26F" w14:textId="43FA4803" w:rsidR="007E047A" w:rsidRPr="00557F9B" w:rsidRDefault="007E047A" w:rsidP="007E047A">
            <w:pPr>
              <w:jc w:val="center"/>
              <w:rPr>
                <w:rFonts w:cs="Arial"/>
                <w:color w:val="FF0000"/>
                <w:sz w:val="20"/>
                <w:szCs w:val="20"/>
              </w:rPr>
            </w:pPr>
            <w:r w:rsidRPr="00557F9B">
              <w:rPr>
                <w:rFonts w:cs="Arial"/>
                <w:sz w:val="20"/>
                <w:szCs w:val="20"/>
              </w:rPr>
              <w:t>£39,862</w:t>
            </w:r>
          </w:p>
        </w:tc>
        <w:tc>
          <w:tcPr>
            <w:tcW w:w="1560" w:type="dxa"/>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AD7F650" w14:textId="117C4F61" w:rsidR="007E047A" w:rsidRPr="00557F9B" w:rsidRDefault="007E047A" w:rsidP="007E047A">
            <w:pPr>
              <w:jc w:val="center"/>
              <w:rPr>
                <w:rFonts w:cs="Arial"/>
                <w:color w:val="FF0000"/>
                <w:sz w:val="20"/>
                <w:szCs w:val="20"/>
              </w:rPr>
            </w:pPr>
            <w:r w:rsidRPr="00557F9B">
              <w:rPr>
                <w:rFonts w:cs="Arial"/>
                <w:sz w:val="20"/>
                <w:szCs w:val="20"/>
              </w:rPr>
              <w:t>Open Space</w:t>
            </w:r>
          </w:p>
        </w:tc>
        <w:tc>
          <w:tcPr>
            <w:tcW w:w="1464" w:type="dxa"/>
            <w:tcBorders>
              <w:top w:val="single" w:sz="4" w:space="0" w:color="auto"/>
              <w:left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5A113AAB" w14:textId="1E2D6F52" w:rsidR="007E047A" w:rsidRPr="00557F9B" w:rsidRDefault="007E047A" w:rsidP="007E047A">
            <w:pPr>
              <w:jc w:val="center"/>
              <w:rPr>
                <w:rFonts w:cs="Arial"/>
                <w:color w:val="FF0000"/>
                <w:sz w:val="20"/>
                <w:szCs w:val="20"/>
              </w:rPr>
            </w:pPr>
            <w:r w:rsidRPr="00557F9B">
              <w:rPr>
                <w:rFonts w:cs="Arial"/>
                <w:sz w:val="20"/>
                <w:szCs w:val="20"/>
              </w:rPr>
              <w:t>2031</w:t>
            </w:r>
          </w:p>
        </w:tc>
      </w:tr>
      <w:tr w:rsidR="00557F9B" w:rsidRPr="00205BDF" w14:paraId="5D8F0D9F" w14:textId="77777777" w:rsidTr="007E047A">
        <w:trPr>
          <w:trHeight w:val="567"/>
        </w:trPr>
        <w:tc>
          <w:tcPr>
            <w:tcW w:w="1583"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368B1115" w14:textId="77777777" w:rsidR="00557F9B" w:rsidRPr="00557F9B" w:rsidRDefault="00557F9B" w:rsidP="007E047A">
            <w:pPr>
              <w:jc w:val="center"/>
              <w:rPr>
                <w:rFonts w:cs="Arial"/>
                <w:color w:val="FF0000"/>
                <w:sz w:val="20"/>
                <w:szCs w:val="20"/>
              </w:rPr>
            </w:pPr>
          </w:p>
        </w:tc>
        <w:tc>
          <w:tcPr>
            <w:tcW w:w="1415"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01B17F1" w14:textId="77777777" w:rsidR="00557F9B" w:rsidRPr="00557F9B" w:rsidRDefault="00557F9B" w:rsidP="007E047A">
            <w:pPr>
              <w:jc w:val="center"/>
              <w:rPr>
                <w:rFonts w:cs="Arial"/>
                <w:color w:val="FF0000"/>
                <w:sz w:val="20"/>
                <w:szCs w:val="20"/>
              </w:rPr>
            </w:pPr>
          </w:p>
        </w:tc>
        <w:tc>
          <w:tcPr>
            <w:tcW w:w="122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A722CB3" w14:textId="77777777" w:rsidR="00557F9B" w:rsidRPr="00557F9B" w:rsidRDefault="00557F9B" w:rsidP="007E047A">
            <w:pPr>
              <w:jc w:val="center"/>
              <w:rPr>
                <w:rFonts w:cs="Arial"/>
                <w:color w:val="FF0000"/>
                <w:sz w:val="20"/>
                <w:szCs w:val="20"/>
              </w:rPr>
            </w:pP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929B90E" w14:textId="14A17ADF" w:rsidR="00557F9B" w:rsidRPr="00557F9B" w:rsidRDefault="00557F9B" w:rsidP="007E047A">
            <w:pPr>
              <w:jc w:val="center"/>
              <w:rPr>
                <w:rFonts w:cs="Arial"/>
                <w:color w:val="FF0000"/>
                <w:sz w:val="20"/>
                <w:szCs w:val="20"/>
              </w:rPr>
            </w:pPr>
            <w:r w:rsidRPr="00557F9B">
              <w:rPr>
                <w:rFonts w:cs="Arial"/>
                <w:sz w:val="20"/>
                <w:szCs w:val="20"/>
              </w:rPr>
              <w:t>£18,713</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0AD0277" w14:textId="44ECC909" w:rsidR="00557F9B" w:rsidRPr="00557F9B" w:rsidRDefault="00557F9B" w:rsidP="007E047A">
            <w:pPr>
              <w:jc w:val="center"/>
              <w:rPr>
                <w:rFonts w:cs="Arial"/>
                <w:color w:val="FF0000"/>
                <w:sz w:val="20"/>
                <w:szCs w:val="20"/>
              </w:rPr>
            </w:pPr>
            <w:r w:rsidRPr="00557F9B">
              <w:rPr>
                <w:rFonts w:cs="Arial"/>
                <w:sz w:val="20"/>
                <w:szCs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844416F" w14:textId="720BA578" w:rsidR="00557F9B" w:rsidRPr="00557F9B" w:rsidRDefault="00557F9B" w:rsidP="007E047A">
            <w:pPr>
              <w:jc w:val="center"/>
              <w:rPr>
                <w:rFonts w:cs="Arial"/>
                <w:color w:val="FF0000"/>
                <w:sz w:val="20"/>
                <w:szCs w:val="20"/>
              </w:rPr>
            </w:pPr>
            <w:r w:rsidRPr="00557F9B">
              <w:rPr>
                <w:rFonts w:cs="Arial"/>
                <w:sz w:val="20"/>
                <w:szCs w:val="20"/>
              </w:rPr>
              <w:t>2031</w:t>
            </w:r>
          </w:p>
        </w:tc>
      </w:tr>
      <w:tr w:rsidR="00557F9B" w:rsidRPr="00205BDF" w14:paraId="48C01022"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67EC7AD3" w14:textId="4A376760" w:rsidR="00557F9B" w:rsidRPr="00557F9B" w:rsidRDefault="00557F9B" w:rsidP="007E047A">
            <w:pPr>
              <w:jc w:val="center"/>
              <w:rPr>
                <w:rFonts w:cs="Arial"/>
                <w:color w:val="FF0000"/>
                <w:sz w:val="20"/>
                <w:szCs w:val="20"/>
              </w:rPr>
            </w:pPr>
            <w:r w:rsidRPr="00557F9B">
              <w:rPr>
                <w:rFonts w:cs="Arial"/>
                <w:sz w:val="20"/>
                <w:szCs w:val="20"/>
              </w:rPr>
              <w:t>Dark Lane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7630DBB9" w14:textId="05298187" w:rsidR="00557F9B" w:rsidRPr="00557F9B" w:rsidRDefault="00557F9B" w:rsidP="007E047A">
            <w:pPr>
              <w:jc w:val="center"/>
              <w:rPr>
                <w:rFonts w:cs="Arial"/>
                <w:color w:val="FF0000"/>
                <w:sz w:val="20"/>
                <w:szCs w:val="20"/>
              </w:rPr>
            </w:pPr>
            <w:r w:rsidRPr="00557F9B">
              <w:rPr>
                <w:rFonts w:cs="Arial"/>
                <w:sz w:val="20"/>
                <w:szCs w:val="20"/>
              </w:rPr>
              <w:t>2017/1263</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4B6A37B3" w14:textId="483BF623" w:rsidR="00557F9B" w:rsidRPr="00557F9B" w:rsidRDefault="00557F9B" w:rsidP="007E047A">
            <w:pPr>
              <w:jc w:val="center"/>
              <w:rPr>
                <w:rFonts w:cs="Arial"/>
                <w:color w:val="FF0000"/>
                <w:sz w:val="20"/>
                <w:szCs w:val="20"/>
              </w:rPr>
            </w:pPr>
            <w:r w:rsidRPr="00557F9B">
              <w:rPr>
                <w:rFonts w:cs="Arial"/>
                <w:sz w:val="20"/>
                <w:szCs w:val="20"/>
              </w:rPr>
              <w:t>2022</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44E7B2A8" w14:textId="273608E8" w:rsidR="00557F9B" w:rsidRPr="00557F9B" w:rsidRDefault="00557F9B" w:rsidP="007E047A">
            <w:pPr>
              <w:jc w:val="center"/>
              <w:rPr>
                <w:rFonts w:cs="Arial"/>
                <w:color w:val="FF0000"/>
                <w:sz w:val="20"/>
                <w:szCs w:val="20"/>
              </w:rPr>
            </w:pPr>
            <w:r w:rsidRPr="00557F9B">
              <w:rPr>
                <w:rFonts w:cs="Arial"/>
                <w:sz w:val="20"/>
                <w:szCs w:val="20"/>
              </w:rPr>
              <w:t>£53,037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07BDAEB3" w14:textId="2CC542E2" w:rsidR="00557F9B" w:rsidRPr="00557F9B" w:rsidRDefault="00557F9B" w:rsidP="007E047A">
            <w:pPr>
              <w:jc w:val="center"/>
              <w:rPr>
                <w:rFonts w:cs="Arial"/>
                <w:color w:val="FF0000"/>
                <w:sz w:val="20"/>
                <w:szCs w:val="20"/>
              </w:rPr>
            </w:pPr>
            <w:r w:rsidRPr="00557F9B">
              <w:rPr>
                <w:rFonts w:cs="Arial"/>
                <w:sz w:val="20"/>
                <w:szCs w:val="20"/>
              </w:rPr>
              <w:t>Affordable Housing</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12E3D070" w14:textId="6DBB0114" w:rsidR="00557F9B" w:rsidRPr="00557F9B" w:rsidRDefault="00557F9B" w:rsidP="007E047A">
            <w:pPr>
              <w:jc w:val="center"/>
              <w:rPr>
                <w:rFonts w:cs="Arial"/>
                <w:color w:val="FF0000"/>
                <w:sz w:val="20"/>
                <w:szCs w:val="20"/>
              </w:rPr>
            </w:pPr>
            <w:r w:rsidRPr="00557F9B">
              <w:rPr>
                <w:rFonts w:cs="Arial"/>
                <w:sz w:val="20"/>
                <w:szCs w:val="20"/>
              </w:rPr>
              <w:t>2032</w:t>
            </w:r>
          </w:p>
        </w:tc>
      </w:tr>
      <w:tr w:rsidR="00557F9B" w:rsidRPr="00205BDF" w14:paraId="6043A9DE"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0B37D214" w14:textId="4411B385" w:rsidR="00557F9B" w:rsidRPr="00557F9B" w:rsidRDefault="00557F9B" w:rsidP="007E047A">
            <w:pPr>
              <w:jc w:val="center"/>
              <w:rPr>
                <w:rFonts w:cs="Arial"/>
                <w:color w:val="FF0000"/>
                <w:sz w:val="20"/>
                <w:szCs w:val="20"/>
              </w:rPr>
            </w:pPr>
            <w:r w:rsidRPr="00557F9B">
              <w:rPr>
                <w:rFonts w:cs="Arial"/>
                <w:sz w:val="20"/>
                <w:szCs w:val="20"/>
              </w:rPr>
              <w:t>Glebe Farm</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7783080D" w14:textId="628A30C8" w:rsidR="00557F9B" w:rsidRPr="00557F9B" w:rsidRDefault="00557F9B" w:rsidP="007E047A">
            <w:pPr>
              <w:jc w:val="center"/>
              <w:rPr>
                <w:rFonts w:cs="Arial"/>
                <w:color w:val="FF0000"/>
                <w:sz w:val="20"/>
                <w:szCs w:val="20"/>
              </w:rPr>
            </w:pPr>
            <w:r w:rsidRPr="00557F9B">
              <w:rPr>
                <w:rFonts w:cs="Arial"/>
                <w:sz w:val="20"/>
                <w:szCs w:val="20"/>
              </w:rPr>
              <w:t>2014/0475</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78D8E32A" w14:textId="0A5681F7" w:rsidR="00557F9B" w:rsidRPr="00557F9B" w:rsidRDefault="00557F9B" w:rsidP="007E047A">
            <w:pPr>
              <w:jc w:val="center"/>
              <w:rPr>
                <w:rFonts w:cs="Arial"/>
                <w:color w:val="FF0000"/>
                <w:sz w:val="20"/>
                <w:szCs w:val="20"/>
              </w:rPr>
            </w:pPr>
            <w:r w:rsidRPr="00557F9B">
              <w:rPr>
                <w:rFonts w:cs="Arial"/>
                <w:sz w:val="20"/>
                <w:szCs w:val="20"/>
              </w:rPr>
              <w:t>2021</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38FB99F" w14:textId="1867FC11" w:rsidR="00557F9B" w:rsidRPr="00557F9B" w:rsidRDefault="00557F9B" w:rsidP="007E047A">
            <w:pPr>
              <w:jc w:val="center"/>
              <w:rPr>
                <w:rFonts w:cs="Arial"/>
                <w:color w:val="FF0000"/>
                <w:sz w:val="20"/>
                <w:szCs w:val="20"/>
              </w:rPr>
            </w:pPr>
            <w:r w:rsidRPr="00557F9B">
              <w:rPr>
                <w:rFonts w:cs="Arial"/>
                <w:sz w:val="20"/>
                <w:szCs w:val="20"/>
              </w:rPr>
              <w:t>£15,028</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BD0C9E0" w14:textId="2586D9AB" w:rsidR="00557F9B" w:rsidRPr="00557F9B" w:rsidRDefault="00557F9B" w:rsidP="007E047A">
            <w:pPr>
              <w:jc w:val="center"/>
              <w:rPr>
                <w:rFonts w:cs="Arial"/>
                <w:color w:val="FF0000"/>
                <w:sz w:val="20"/>
                <w:szCs w:val="20"/>
              </w:rPr>
            </w:pPr>
            <w:r w:rsidRPr="00557F9B">
              <w:rPr>
                <w:rFonts w:cs="Arial"/>
                <w:sz w:val="20"/>
                <w:szCs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03DD6A4C" w14:textId="19C40A37" w:rsidR="00557F9B" w:rsidRPr="00557F9B" w:rsidRDefault="00557F9B" w:rsidP="007E047A">
            <w:pPr>
              <w:jc w:val="center"/>
              <w:rPr>
                <w:rFonts w:cs="Arial"/>
                <w:color w:val="FF0000"/>
                <w:sz w:val="20"/>
                <w:szCs w:val="20"/>
              </w:rPr>
            </w:pPr>
            <w:r w:rsidRPr="00557F9B">
              <w:rPr>
                <w:rFonts w:cs="Arial"/>
                <w:sz w:val="20"/>
                <w:szCs w:val="20"/>
              </w:rPr>
              <w:t>2031</w:t>
            </w:r>
          </w:p>
        </w:tc>
      </w:tr>
      <w:tr w:rsidR="007E047A" w:rsidRPr="00205BDF" w14:paraId="6541DA89"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E26A172" w14:textId="6BE26A68" w:rsidR="007E047A" w:rsidRPr="007E047A" w:rsidRDefault="007E047A" w:rsidP="007E047A">
            <w:pPr>
              <w:jc w:val="center"/>
              <w:rPr>
                <w:rFonts w:cs="Arial"/>
                <w:color w:val="FF0000"/>
                <w:sz w:val="20"/>
                <w:szCs w:val="20"/>
              </w:rPr>
            </w:pPr>
            <w:proofErr w:type="spellStart"/>
            <w:r w:rsidRPr="00557F9B">
              <w:rPr>
                <w:rFonts w:cs="Arial"/>
                <w:sz w:val="20"/>
                <w:szCs w:val="20"/>
              </w:rPr>
              <w:t>Metalifacture</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B0C4DC1" w14:textId="26078CE1" w:rsidR="007E047A" w:rsidRPr="007E047A" w:rsidRDefault="007E047A" w:rsidP="007E047A">
            <w:pPr>
              <w:jc w:val="center"/>
              <w:rPr>
                <w:rFonts w:cs="Arial"/>
                <w:color w:val="FF0000"/>
                <w:sz w:val="20"/>
                <w:szCs w:val="20"/>
              </w:rPr>
            </w:pPr>
            <w:r w:rsidRPr="00557F9B">
              <w:rPr>
                <w:rFonts w:cs="Arial"/>
                <w:sz w:val="20"/>
                <w:szCs w:val="20"/>
              </w:rPr>
              <w:t>2016/0854</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20FDFEC" w14:textId="43B4DCC7" w:rsidR="007E047A" w:rsidRPr="007E047A" w:rsidRDefault="007E047A" w:rsidP="007E047A">
            <w:pPr>
              <w:jc w:val="center"/>
              <w:rPr>
                <w:rFonts w:cs="Arial"/>
                <w:color w:val="FF0000"/>
                <w:sz w:val="20"/>
                <w:szCs w:val="20"/>
              </w:rPr>
            </w:pPr>
            <w:r w:rsidRPr="00557F9B">
              <w:rPr>
                <w:rFonts w:cs="Arial"/>
                <w:sz w:val="20"/>
                <w:szCs w:val="20"/>
              </w:rPr>
              <w:t>2022</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60E2F7C" w14:textId="50854374" w:rsidR="007E047A" w:rsidRPr="00557F9B" w:rsidRDefault="007E047A" w:rsidP="007E047A">
            <w:pPr>
              <w:jc w:val="center"/>
              <w:rPr>
                <w:rFonts w:cs="Arial"/>
                <w:sz w:val="20"/>
                <w:szCs w:val="20"/>
              </w:rPr>
            </w:pPr>
            <w:r w:rsidRPr="00557F9B">
              <w:rPr>
                <w:rFonts w:cs="Arial"/>
                <w:sz w:val="20"/>
                <w:szCs w:val="20"/>
              </w:rPr>
              <w:t>£142,819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9407E36" w14:textId="237995E7" w:rsidR="007E047A" w:rsidRPr="00557F9B" w:rsidRDefault="007E047A" w:rsidP="007E047A">
            <w:pPr>
              <w:jc w:val="center"/>
              <w:rPr>
                <w:rFonts w:cs="Arial"/>
                <w:sz w:val="20"/>
                <w:szCs w:val="20"/>
              </w:rPr>
            </w:pPr>
            <w:r w:rsidRPr="00557F9B">
              <w:rPr>
                <w:rFonts w:cs="Arial"/>
                <w:sz w:val="20"/>
                <w:szCs w:val="20"/>
              </w:rPr>
              <w:t>Affordable Housing</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A36D979" w14:textId="0A7893D1" w:rsidR="007E047A" w:rsidRPr="00557F9B" w:rsidRDefault="007E047A" w:rsidP="007E047A">
            <w:pPr>
              <w:jc w:val="center"/>
              <w:rPr>
                <w:rFonts w:cs="Arial"/>
                <w:sz w:val="20"/>
                <w:szCs w:val="20"/>
              </w:rPr>
            </w:pPr>
            <w:r w:rsidRPr="00557F9B">
              <w:rPr>
                <w:rFonts w:cs="Arial"/>
                <w:sz w:val="20"/>
                <w:szCs w:val="20"/>
              </w:rPr>
              <w:t>2032</w:t>
            </w:r>
          </w:p>
        </w:tc>
      </w:tr>
      <w:tr w:rsidR="007E047A" w:rsidRPr="00205BDF" w14:paraId="56E5FC2A"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8834E2E" w14:textId="28C67414" w:rsidR="007E047A" w:rsidRPr="00557F9B" w:rsidRDefault="007E047A" w:rsidP="007E047A">
            <w:pPr>
              <w:jc w:val="center"/>
              <w:rPr>
                <w:rFonts w:cs="Arial"/>
                <w:color w:val="FF0000"/>
                <w:sz w:val="20"/>
                <w:szCs w:val="20"/>
              </w:rPr>
            </w:pPr>
            <w:r w:rsidRPr="00557F9B">
              <w:rPr>
                <w:rFonts w:cs="Arial"/>
                <w:sz w:val="20"/>
                <w:szCs w:val="20"/>
              </w:rPr>
              <w:t>Cornwater Fields</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505B0989" w14:textId="19FF4412" w:rsidR="007E047A" w:rsidRPr="00557F9B" w:rsidRDefault="007E047A" w:rsidP="007E047A">
            <w:pPr>
              <w:jc w:val="center"/>
              <w:rPr>
                <w:rFonts w:cs="Arial"/>
                <w:color w:val="FF0000"/>
                <w:sz w:val="20"/>
                <w:szCs w:val="20"/>
              </w:rPr>
            </w:pPr>
            <w:r w:rsidRPr="00557F9B">
              <w:rPr>
                <w:rFonts w:cs="Arial"/>
                <w:sz w:val="20"/>
                <w:szCs w:val="20"/>
              </w:rPr>
              <w:t>2013/0836</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4F89A9E8" w14:textId="4451A70D" w:rsidR="007E047A" w:rsidRPr="00557F9B" w:rsidRDefault="007E047A" w:rsidP="007E047A">
            <w:pPr>
              <w:jc w:val="center"/>
              <w:rPr>
                <w:rFonts w:cs="Arial"/>
                <w:color w:val="FF0000"/>
                <w:sz w:val="20"/>
                <w:szCs w:val="20"/>
              </w:rPr>
            </w:pPr>
            <w:r w:rsidRPr="00557F9B">
              <w:rPr>
                <w:rFonts w:cs="Arial"/>
                <w:sz w:val="20"/>
                <w:szCs w:val="20"/>
              </w:rPr>
              <w:t>2022</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F47FAA7" w14:textId="0F35C021" w:rsidR="007E047A" w:rsidRPr="00557F9B" w:rsidRDefault="007E047A" w:rsidP="007E047A">
            <w:pPr>
              <w:jc w:val="center"/>
              <w:rPr>
                <w:rFonts w:cs="Arial"/>
                <w:color w:val="FF0000"/>
                <w:sz w:val="20"/>
                <w:szCs w:val="20"/>
              </w:rPr>
            </w:pPr>
            <w:r w:rsidRPr="00557F9B">
              <w:rPr>
                <w:rFonts w:cs="Arial"/>
                <w:sz w:val="20"/>
                <w:szCs w:val="20"/>
              </w:rPr>
              <w:t>£103,224</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3767BC8C" w14:textId="56CDAFE8" w:rsidR="007E047A" w:rsidRPr="00557F9B" w:rsidRDefault="007E047A" w:rsidP="007E047A">
            <w:pPr>
              <w:jc w:val="center"/>
              <w:rPr>
                <w:rFonts w:cs="Arial"/>
                <w:color w:val="FF0000"/>
                <w:sz w:val="20"/>
                <w:szCs w:val="20"/>
              </w:rPr>
            </w:pPr>
            <w:r w:rsidRPr="00557F9B">
              <w:rPr>
                <w:rFonts w:cs="Arial"/>
                <w:sz w:val="20"/>
                <w:szCs w:val="20"/>
              </w:rPr>
              <w:t>Open Space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1B925A5" w14:textId="6708DE44" w:rsidR="007E047A" w:rsidRPr="00557F9B" w:rsidRDefault="007E047A" w:rsidP="007E047A">
            <w:pPr>
              <w:jc w:val="center"/>
              <w:rPr>
                <w:rFonts w:cs="Arial"/>
                <w:color w:val="FF0000"/>
                <w:sz w:val="20"/>
                <w:szCs w:val="20"/>
              </w:rPr>
            </w:pPr>
            <w:r w:rsidRPr="00557F9B">
              <w:rPr>
                <w:rFonts w:cs="Arial"/>
                <w:sz w:val="20"/>
                <w:szCs w:val="20"/>
              </w:rPr>
              <w:t>2032</w:t>
            </w:r>
          </w:p>
        </w:tc>
      </w:tr>
      <w:tr w:rsidR="007E047A" w:rsidRPr="00205BDF" w14:paraId="2398458E"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18894B75" w14:textId="332646AF" w:rsidR="007E047A" w:rsidRPr="00557F9B" w:rsidRDefault="007E047A" w:rsidP="007E047A">
            <w:pPr>
              <w:jc w:val="center"/>
              <w:rPr>
                <w:rFonts w:cs="Arial"/>
                <w:color w:val="FF0000"/>
                <w:sz w:val="20"/>
                <w:szCs w:val="20"/>
              </w:rPr>
            </w:pPr>
            <w:r w:rsidRPr="00557F9B">
              <w:rPr>
                <w:rFonts w:cs="Arial"/>
                <w:sz w:val="20"/>
                <w:szCs w:val="20"/>
              </w:rPr>
              <w:t xml:space="preserve">84-86 Chapel </w:t>
            </w:r>
            <w:proofErr w:type="spellStart"/>
            <w:r w:rsidRPr="00557F9B">
              <w:rPr>
                <w:rFonts w:cs="Arial"/>
                <w:sz w:val="20"/>
                <w:szCs w:val="20"/>
              </w:rPr>
              <w:t>Lne</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66208FA8" w14:textId="66A85609" w:rsidR="007E047A" w:rsidRPr="00557F9B" w:rsidRDefault="007E047A" w:rsidP="007E047A">
            <w:pPr>
              <w:jc w:val="center"/>
              <w:rPr>
                <w:rFonts w:cs="Arial"/>
                <w:color w:val="FF0000"/>
                <w:sz w:val="20"/>
                <w:szCs w:val="20"/>
              </w:rPr>
            </w:pPr>
            <w:r w:rsidRPr="00557F9B">
              <w:rPr>
                <w:rFonts w:cs="Arial"/>
                <w:sz w:val="20"/>
                <w:szCs w:val="20"/>
              </w:rPr>
              <w:t>2019/0770</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0A341D2A" w14:textId="19ED48E2" w:rsidR="007E047A" w:rsidRPr="00557F9B" w:rsidRDefault="007E047A" w:rsidP="007E047A">
            <w:pPr>
              <w:jc w:val="center"/>
              <w:rPr>
                <w:rFonts w:cs="Arial"/>
                <w:color w:val="FF0000"/>
                <w:sz w:val="20"/>
                <w:szCs w:val="20"/>
              </w:rPr>
            </w:pPr>
            <w:r w:rsidRPr="00557F9B">
              <w:rPr>
                <w:rFonts w:cs="Arial"/>
                <w:sz w:val="20"/>
                <w:szCs w:val="20"/>
              </w:rPr>
              <w:t>2022</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0C4F94C6" w14:textId="2A9B1FCE" w:rsidR="007E047A" w:rsidRPr="00557F9B" w:rsidRDefault="007E047A" w:rsidP="007E047A">
            <w:pPr>
              <w:jc w:val="center"/>
              <w:rPr>
                <w:rFonts w:cs="Arial"/>
                <w:color w:val="FF0000"/>
                <w:sz w:val="20"/>
                <w:szCs w:val="20"/>
              </w:rPr>
            </w:pPr>
            <w:r w:rsidRPr="00557F9B">
              <w:rPr>
                <w:rFonts w:cs="Arial"/>
                <w:sz w:val="20"/>
                <w:szCs w:val="20"/>
              </w:rPr>
              <w:t>£13,500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640B3277" w14:textId="0DD0FE05" w:rsidR="007E047A" w:rsidRPr="00557F9B" w:rsidRDefault="007E047A" w:rsidP="007E047A">
            <w:pPr>
              <w:jc w:val="center"/>
              <w:rPr>
                <w:rFonts w:cs="Arial"/>
                <w:color w:val="FF0000"/>
                <w:sz w:val="20"/>
                <w:szCs w:val="20"/>
              </w:rPr>
            </w:pPr>
            <w:r w:rsidRPr="00557F9B">
              <w:rPr>
                <w:rFonts w:cs="Arial"/>
                <w:sz w:val="20"/>
                <w:szCs w:val="20"/>
              </w:rPr>
              <w:t>Open Space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14:paraId="1C9BE476" w14:textId="1639D1F2" w:rsidR="007E047A" w:rsidRPr="00557F9B" w:rsidRDefault="007E047A" w:rsidP="007E047A">
            <w:pPr>
              <w:jc w:val="center"/>
              <w:rPr>
                <w:rFonts w:cs="Arial"/>
                <w:color w:val="FF0000"/>
                <w:sz w:val="20"/>
                <w:szCs w:val="20"/>
              </w:rPr>
            </w:pPr>
            <w:r w:rsidRPr="00557F9B">
              <w:rPr>
                <w:rFonts w:cs="Arial"/>
                <w:sz w:val="20"/>
                <w:szCs w:val="20"/>
              </w:rPr>
              <w:t>2032</w:t>
            </w:r>
          </w:p>
        </w:tc>
      </w:tr>
      <w:tr w:rsidR="007E047A" w:rsidRPr="00205BDF" w14:paraId="642CBDCB"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23B12564" w14:textId="5294FE40" w:rsidR="007E047A" w:rsidRPr="00557F9B" w:rsidRDefault="007E047A" w:rsidP="007E047A">
            <w:pPr>
              <w:jc w:val="center"/>
              <w:rPr>
                <w:rFonts w:cs="Arial"/>
                <w:b/>
                <w:bCs/>
                <w:color w:val="FF0000"/>
                <w:sz w:val="20"/>
                <w:szCs w:val="20"/>
                <w:lang w:eastAsia="en-GB"/>
              </w:rPr>
            </w:pPr>
            <w:r w:rsidRPr="00557F9B">
              <w:rPr>
                <w:rFonts w:cs="Arial"/>
                <w:sz w:val="20"/>
                <w:szCs w:val="20"/>
              </w:rPr>
              <w:t>Rolleston Drive</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DF427C5" w14:textId="38EAB238" w:rsidR="007E047A" w:rsidRPr="00557F9B" w:rsidRDefault="007E047A"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2020/1054</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7AA6A47A" w14:textId="1EC3E770" w:rsidR="007E047A" w:rsidRPr="00557F9B" w:rsidRDefault="007E047A"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2022</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hideMark/>
          </w:tcPr>
          <w:p w14:paraId="6600DC72" w14:textId="776169DE" w:rsidR="007E047A" w:rsidRPr="00557F9B" w:rsidRDefault="007E047A" w:rsidP="007E047A">
            <w:pPr>
              <w:jc w:val="center"/>
              <w:rPr>
                <w:rFonts w:cs="Arial"/>
                <w:b/>
                <w:bCs/>
                <w:color w:val="FF0000"/>
                <w:sz w:val="20"/>
                <w:szCs w:val="20"/>
                <w:lang w:eastAsia="en-GB"/>
              </w:rPr>
            </w:pPr>
            <w:r w:rsidRPr="00557F9B">
              <w:rPr>
                <w:rFonts w:cs="Arial"/>
                <w:sz w:val="20"/>
                <w:szCs w:val="20"/>
              </w:rPr>
              <w:t>£78,197</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A15F2A1" w14:textId="6F275A7D" w:rsidR="007E047A" w:rsidRPr="00557F9B" w:rsidRDefault="007E047A" w:rsidP="007E047A">
            <w:pPr>
              <w:pStyle w:val="NormalIndent"/>
              <w:spacing w:before="120" w:after="120" w:line="276" w:lineRule="auto"/>
              <w:ind w:left="0" w:firstLine="0"/>
              <w:jc w:val="center"/>
              <w:rPr>
                <w:rFonts w:cs="Arial"/>
                <w:color w:val="FF0000"/>
                <w:sz w:val="20"/>
                <w:lang w:eastAsia="en-GB"/>
              </w:rPr>
            </w:pPr>
            <w:r w:rsidRPr="00557F9B">
              <w:rPr>
                <w:rFonts w:cs="Arial"/>
                <w:sz w:val="20"/>
              </w:rPr>
              <w:t>Open Space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709F5EF" w14:textId="53C75C87" w:rsidR="007E047A" w:rsidRPr="00557F9B" w:rsidRDefault="007E047A" w:rsidP="007E047A">
            <w:pPr>
              <w:pStyle w:val="NormalIndent"/>
              <w:spacing w:before="120" w:after="120" w:line="276" w:lineRule="auto"/>
              <w:ind w:left="0" w:firstLine="0"/>
              <w:jc w:val="center"/>
              <w:rPr>
                <w:rFonts w:cs="Arial"/>
                <w:color w:val="FF0000"/>
                <w:sz w:val="20"/>
                <w:lang w:eastAsia="en-GB"/>
              </w:rPr>
            </w:pPr>
            <w:r w:rsidRPr="00557F9B">
              <w:rPr>
                <w:rFonts w:cs="Arial"/>
                <w:sz w:val="20"/>
              </w:rPr>
              <w:t>2032</w:t>
            </w:r>
          </w:p>
        </w:tc>
      </w:tr>
      <w:tr w:rsidR="007E047A" w:rsidRPr="00557F9B" w14:paraId="0A5939CB"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25662E0" w14:textId="2F2121DD" w:rsidR="007E047A" w:rsidRPr="00557F9B" w:rsidRDefault="007E047A" w:rsidP="007E047A">
            <w:pPr>
              <w:jc w:val="center"/>
              <w:rPr>
                <w:rFonts w:cs="Arial"/>
                <w:sz w:val="20"/>
                <w:szCs w:val="20"/>
              </w:rPr>
            </w:pPr>
            <w:r w:rsidRPr="00557F9B">
              <w:rPr>
                <w:rFonts w:cs="Arial"/>
                <w:sz w:val="20"/>
                <w:szCs w:val="20"/>
              </w:rPr>
              <w:t>Wood Lane</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71BE48C"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2018/0577</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41B990A"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2022</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1CAE7BA" w14:textId="5B15864B" w:rsidR="007E047A" w:rsidRPr="00557F9B" w:rsidRDefault="007E047A" w:rsidP="007E047A">
            <w:pPr>
              <w:jc w:val="center"/>
              <w:rPr>
                <w:rFonts w:cs="Arial"/>
                <w:sz w:val="20"/>
                <w:szCs w:val="20"/>
              </w:rPr>
            </w:pPr>
            <w:r w:rsidRPr="00557F9B">
              <w:rPr>
                <w:rFonts w:cs="Arial"/>
                <w:sz w:val="20"/>
                <w:szCs w:val="20"/>
              </w:rPr>
              <w:t>£</w:t>
            </w:r>
            <w:r w:rsidR="000142C1">
              <w:rPr>
                <w:rFonts w:cs="Arial"/>
                <w:sz w:val="20"/>
                <w:szCs w:val="20"/>
              </w:rPr>
              <w:t>19,681</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028B544"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Open Space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4BEE4B7"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2032</w:t>
            </w:r>
          </w:p>
        </w:tc>
      </w:tr>
      <w:tr w:rsidR="007E047A" w:rsidRPr="00557F9B" w14:paraId="231C1794"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C0AD726" w14:textId="222F17C0" w:rsidR="007E047A" w:rsidRPr="00557F9B" w:rsidRDefault="007E047A" w:rsidP="007E047A">
            <w:pPr>
              <w:jc w:val="center"/>
              <w:rPr>
                <w:rFonts w:cs="Arial"/>
                <w:sz w:val="20"/>
                <w:szCs w:val="20"/>
              </w:rPr>
            </w:pPr>
            <w:proofErr w:type="spellStart"/>
            <w:r w:rsidRPr="00557F9B">
              <w:rPr>
                <w:rFonts w:cs="Arial"/>
                <w:sz w:val="20"/>
                <w:szCs w:val="20"/>
              </w:rPr>
              <w:lastRenderedPageBreak/>
              <w:t>Metalifacture</w:t>
            </w:r>
            <w:proofErr w:type="spellEnd"/>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6EC7B55"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2016/0854</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944645E"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2022</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FCB209E" w14:textId="77777777" w:rsidR="007E047A" w:rsidRPr="00557F9B" w:rsidRDefault="007E047A" w:rsidP="007E047A">
            <w:pPr>
              <w:jc w:val="center"/>
              <w:rPr>
                <w:rFonts w:cs="Arial"/>
                <w:sz w:val="20"/>
                <w:szCs w:val="20"/>
              </w:rPr>
            </w:pPr>
            <w:r w:rsidRPr="00557F9B">
              <w:rPr>
                <w:rFonts w:cs="Arial"/>
                <w:sz w:val="20"/>
                <w:szCs w:val="20"/>
              </w:rPr>
              <w:t>£42,692</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EAF4F9F"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68E7B47"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2032</w:t>
            </w:r>
          </w:p>
        </w:tc>
      </w:tr>
      <w:tr w:rsidR="007E047A" w:rsidRPr="00557F9B" w14:paraId="4BD3E52C"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7C158DE" w14:textId="633C7B10" w:rsidR="007E047A" w:rsidRPr="00557F9B" w:rsidRDefault="007E047A" w:rsidP="007E047A">
            <w:pPr>
              <w:jc w:val="center"/>
              <w:rPr>
                <w:rFonts w:cs="Arial"/>
                <w:sz w:val="20"/>
                <w:szCs w:val="20"/>
              </w:rPr>
            </w:pPr>
            <w:r w:rsidRPr="00557F9B">
              <w:rPr>
                <w:rFonts w:cs="Arial"/>
                <w:sz w:val="20"/>
                <w:szCs w:val="20"/>
              </w:rPr>
              <w:t>Burton Road</w:t>
            </w: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F7AF6CC"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2019/1186</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B5AA1C9"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2022</w:t>
            </w: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EFD8644" w14:textId="77777777" w:rsidR="007E047A" w:rsidRPr="00557F9B" w:rsidRDefault="007E047A" w:rsidP="007E047A">
            <w:pPr>
              <w:jc w:val="center"/>
              <w:rPr>
                <w:rFonts w:cs="Arial"/>
                <w:sz w:val="20"/>
                <w:szCs w:val="20"/>
              </w:rPr>
            </w:pPr>
            <w:r w:rsidRPr="00557F9B">
              <w:rPr>
                <w:rFonts w:cs="Arial"/>
                <w:sz w:val="20"/>
                <w:szCs w:val="20"/>
              </w:rPr>
              <w:t>£79,549</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F14CE46"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C3A18BD"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2032</w:t>
            </w:r>
          </w:p>
        </w:tc>
      </w:tr>
      <w:tr w:rsidR="007E047A" w:rsidRPr="00557F9B" w14:paraId="59628036"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B0BB303" w14:textId="0B12DA4C" w:rsidR="007E047A" w:rsidRPr="00557F9B" w:rsidRDefault="007E047A" w:rsidP="007E047A">
            <w:pPr>
              <w:jc w:val="center"/>
              <w:rPr>
                <w:rFonts w:cs="Arial"/>
                <w:sz w:val="20"/>
                <w:szCs w:val="20"/>
              </w:rPr>
            </w:pPr>
            <w:r w:rsidRPr="00557F9B">
              <w:rPr>
                <w:rFonts w:cs="Arial"/>
                <w:sz w:val="20"/>
                <w:szCs w:val="20"/>
              </w:rPr>
              <w:t>Flatts Lane</w:t>
            </w:r>
          </w:p>
        </w:tc>
        <w:tc>
          <w:tcPr>
            <w:tcW w:w="141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2ADF2E64"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2018/1143</w:t>
            </w:r>
          </w:p>
        </w:tc>
        <w:tc>
          <w:tcPr>
            <w:tcW w:w="12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F0383ED"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2022</w:t>
            </w:r>
          </w:p>
        </w:tc>
        <w:tc>
          <w:tcPr>
            <w:tcW w:w="16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4E8ED85" w14:textId="77777777" w:rsidR="007E047A" w:rsidRPr="00557F9B" w:rsidRDefault="007E047A" w:rsidP="007E047A">
            <w:pPr>
              <w:jc w:val="center"/>
              <w:rPr>
                <w:rFonts w:cs="Arial"/>
                <w:sz w:val="20"/>
                <w:szCs w:val="20"/>
              </w:rPr>
            </w:pPr>
            <w:r w:rsidRPr="00557F9B">
              <w:rPr>
                <w:rFonts w:cs="Arial"/>
                <w:sz w:val="20"/>
                <w:szCs w:val="20"/>
              </w:rPr>
              <w:t>£14,609</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6ECD9AB"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HealthCare</w:t>
            </w:r>
          </w:p>
        </w:tc>
        <w:tc>
          <w:tcPr>
            <w:tcW w:w="146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47671A23" w14:textId="77777777" w:rsidR="007E047A" w:rsidRPr="00557F9B" w:rsidRDefault="007E047A" w:rsidP="007E047A">
            <w:pPr>
              <w:pStyle w:val="NormalIndent"/>
              <w:spacing w:before="120" w:after="120" w:line="276" w:lineRule="auto"/>
              <w:jc w:val="center"/>
              <w:rPr>
                <w:rFonts w:cs="Arial"/>
                <w:sz w:val="20"/>
              </w:rPr>
            </w:pPr>
            <w:r w:rsidRPr="00557F9B">
              <w:rPr>
                <w:rFonts w:cs="Arial"/>
                <w:sz w:val="20"/>
              </w:rPr>
              <w:t>2032</w:t>
            </w:r>
          </w:p>
        </w:tc>
      </w:tr>
      <w:tr w:rsidR="007E047A" w:rsidRPr="00557F9B" w14:paraId="59E173C0" w14:textId="77777777" w:rsidTr="007E047A">
        <w:trPr>
          <w:trHeight w:val="567"/>
        </w:trPr>
        <w:tc>
          <w:tcPr>
            <w:tcW w:w="1583"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976713F" w14:textId="1AF149F2" w:rsidR="007E047A" w:rsidRPr="00557F9B" w:rsidRDefault="007E047A" w:rsidP="007E047A">
            <w:pPr>
              <w:shd w:val="clear" w:color="auto" w:fill="FFFFFF" w:themeFill="background1"/>
              <w:jc w:val="center"/>
              <w:rPr>
                <w:rFonts w:cs="Arial"/>
                <w:sz w:val="20"/>
                <w:szCs w:val="20"/>
              </w:rPr>
            </w:pPr>
          </w:p>
        </w:tc>
        <w:tc>
          <w:tcPr>
            <w:tcW w:w="1415"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FE33B41" w14:textId="77777777" w:rsidR="007E047A" w:rsidRPr="00557F9B" w:rsidRDefault="007E047A" w:rsidP="007E047A">
            <w:pPr>
              <w:pStyle w:val="NormalIndent"/>
              <w:shd w:val="clear" w:color="auto" w:fill="FFFFFF" w:themeFill="background1"/>
              <w:spacing w:before="120" w:after="120" w:line="276" w:lineRule="auto"/>
              <w:jc w:val="center"/>
              <w:rPr>
                <w:rFonts w:cs="Arial"/>
                <w:sz w:val="20"/>
              </w:rPr>
            </w:pP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B64FD64" w14:textId="77777777" w:rsidR="007E047A" w:rsidRPr="00557F9B" w:rsidRDefault="007E047A" w:rsidP="007E047A">
            <w:pPr>
              <w:pStyle w:val="NormalIndent"/>
              <w:shd w:val="clear" w:color="auto" w:fill="FFFFFF" w:themeFill="background1"/>
              <w:spacing w:before="120" w:after="120" w:line="276" w:lineRule="auto"/>
              <w:jc w:val="center"/>
              <w:rPr>
                <w:rFonts w:cs="Arial"/>
                <w:sz w:val="20"/>
              </w:rPr>
            </w:pPr>
          </w:p>
        </w:tc>
        <w:tc>
          <w:tcPr>
            <w:tcW w:w="1659"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C599176" w14:textId="68841AD2" w:rsidR="007E047A" w:rsidRPr="007E047A" w:rsidRDefault="007E047A" w:rsidP="007E047A">
            <w:pPr>
              <w:shd w:val="clear" w:color="auto" w:fill="FFFFFF" w:themeFill="background1"/>
              <w:jc w:val="center"/>
              <w:rPr>
                <w:rFonts w:cs="Arial"/>
                <w:b/>
                <w:bCs/>
                <w:sz w:val="20"/>
                <w:szCs w:val="20"/>
              </w:rPr>
            </w:pPr>
            <w:r w:rsidRPr="007E047A">
              <w:rPr>
                <w:rFonts w:cs="Arial"/>
                <w:b/>
                <w:bCs/>
                <w:sz w:val="20"/>
                <w:szCs w:val="20"/>
              </w:rPr>
              <w:t>£3,</w:t>
            </w:r>
            <w:r w:rsidR="000142C1">
              <w:rPr>
                <w:rFonts w:cs="Arial"/>
                <w:b/>
                <w:bCs/>
                <w:sz w:val="20"/>
                <w:szCs w:val="20"/>
              </w:rPr>
              <w:t>538,877</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32E352E" w14:textId="77777777" w:rsidR="007E047A" w:rsidRPr="00557F9B" w:rsidRDefault="007E047A" w:rsidP="007E047A">
            <w:pPr>
              <w:pStyle w:val="NormalIndent"/>
              <w:shd w:val="clear" w:color="auto" w:fill="FFFFFF" w:themeFill="background1"/>
              <w:spacing w:before="120" w:after="120" w:line="276" w:lineRule="auto"/>
              <w:jc w:val="center"/>
              <w:rPr>
                <w:rFonts w:cs="Arial"/>
                <w:sz w:val="20"/>
              </w:rPr>
            </w:pPr>
          </w:p>
        </w:tc>
        <w:tc>
          <w:tcPr>
            <w:tcW w:w="14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EBB1355" w14:textId="77777777" w:rsidR="007E047A" w:rsidRPr="00557F9B" w:rsidRDefault="007E047A" w:rsidP="007E047A">
            <w:pPr>
              <w:pStyle w:val="NormalIndent"/>
              <w:shd w:val="clear" w:color="auto" w:fill="FFFFFF" w:themeFill="background1"/>
              <w:spacing w:before="120" w:after="120" w:line="276" w:lineRule="auto"/>
              <w:jc w:val="center"/>
              <w:rPr>
                <w:rFonts w:cs="Arial"/>
                <w:sz w:val="20"/>
              </w:rPr>
            </w:pPr>
          </w:p>
        </w:tc>
      </w:tr>
    </w:tbl>
    <w:p w14:paraId="12F1C4F0" w14:textId="76D0FC36" w:rsidR="00516AC7" w:rsidRPr="00205BDF" w:rsidRDefault="00516AC7" w:rsidP="007E047A">
      <w:pPr>
        <w:shd w:val="clear" w:color="auto" w:fill="FFFFFF" w:themeFill="background1"/>
        <w:spacing w:line="360" w:lineRule="auto"/>
        <w:rPr>
          <w:b/>
          <w:bCs/>
          <w:color w:val="FF0000"/>
        </w:rPr>
      </w:pPr>
    </w:p>
    <w:p w14:paraId="709F0B96" w14:textId="61E015A4" w:rsidR="0044563A" w:rsidRPr="00A60B01" w:rsidRDefault="0044563A" w:rsidP="006A7A1D">
      <w:pPr>
        <w:spacing w:line="360" w:lineRule="auto"/>
        <w:jc w:val="both"/>
        <w:rPr>
          <w:bCs/>
        </w:rPr>
      </w:pPr>
      <w:r w:rsidRPr="00A60B01">
        <w:rPr>
          <w:bCs/>
        </w:rPr>
        <w:t xml:space="preserve">Figure </w:t>
      </w:r>
      <w:r w:rsidR="00B42796" w:rsidRPr="00A60B01">
        <w:rPr>
          <w:bCs/>
        </w:rPr>
        <w:t>4</w:t>
      </w:r>
      <w:r w:rsidRPr="00A60B01">
        <w:rPr>
          <w:bCs/>
        </w:rPr>
        <w:t xml:space="preserve"> below provides a breakdown of all the contributions currently held by Gedling Borough Council per service provision.</w:t>
      </w:r>
    </w:p>
    <w:p w14:paraId="7D69EA0E" w14:textId="25CEB5E7" w:rsidR="0044563A" w:rsidRPr="00AB6C96" w:rsidRDefault="0044563A" w:rsidP="006A7A1D">
      <w:pPr>
        <w:spacing w:line="360" w:lineRule="auto"/>
        <w:jc w:val="both"/>
        <w:rPr>
          <w:b/>
        </w:rPr>
      </w:pPr>
      <w:r w:rsidRPr="00AB6C96">
        <w:rPr>
          <w:b/>
        </w:rPr>
        <w:t xml:space="preserve">Figure </w:t>
      </w:r>
      <w:r w:rsidR="00810EDF" w:rsidRPr="00AB6C96">
        <w:rPr>
          <w:b/>
        </w:rPr>
        <w:t>4</w:t>
      </w:r>
      <w:r w:rsidRPr="00AB6C96">
        <w:rPr>
          <w:b/>
        </w:rPr>
        <w:t xml:space="preserve">. </w:t>
      </w:r>
      <w:r w:rsidR="00A1098C" w:rsidRPr="00AB6C96">
        <w:rPr>
          <w:b/>
        </w:rPr>
        <w:t xml:space="preserve">Pie Chart showing S106 Contributions held per type of </w:t>
      </w:r>
      <w:proofErr w:type="gramStart"/>
      <w:r w:rsidR="00A1098C" w:rsidRPr="00AB6C96">
        <w:rPr>
          <w:b/>
        </w:rPr>
        <w:t>provision</w:t>
      </w:r>
      <w:proofErr w:type="gramEnd"/>
    </w:p>
    <w:p w14:paraId="3C70DCA4" w14:textId="7EA528DE" w:rsidR="009F151E" w:rsidRPr="00205BDF" w:rsidRDefault="000142C1" w:rsidP="0044563A">
      <w:pPr>
        <w:spacing w:line="360" w:lineRule="auto"/>
        <w:jc w:val="center"/>
        <w:rPr>
          <w:b/>
          <w:bCs/>
          <w:color w:val="FF0000"/>
        </w:rPr>
      </w:pPr>
      <w:r>
        <w:rPr>
          <w:noProof/>
        </w:rPr>
        <w:drawing>
          <wp:inline distT="0" distB="0" distL="0" distR="0" wp14:anchorId="211DCDFA" wp14:editId="05D0390F">
            <wp:extent cx="5731510" cy="3419475"/>
            <wp:effectExtent l="0" t="0" r="2540" b="9525"/>
            <wp:docPr id="1552768775" name="Picture 1" descr="Figure 4. A pie chart displaying the different contributions held sorted by provision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768775" name="Picture 1" descr="Figure 4. A pie chart displaying the different contributions held sorted by provision type."/>
                    <pic:cNvPicPr/>
                  </pic:nvPicPr>
                  <pic:blipFill>
                    <a:blip r:embed="rId16"/>
                    <a:stretch>
                      <a:fillRect/>
                    </a:stretch>
                  </pic:blipFill>
                  <pic:spPr>
                    <a:xfrm>
                      <a:off x="0" y="0"/>
                      <a:ext cx="5731510" cy="3419475"/>
                    </a:xfrm>
                    <a:prstGeom prst="rect">
                      <a:avLst/>
                    </a:prstGeom>
                  </pic:spPr>
                </pic:pic>
              </a:graphicData>
            </a:graphic>
          </wp:inline>
        </w:drawing>
      </w:r>
    </w:p>
    <w:p w14:paraId="678817FD" w14:textId="46D0FBFF" w:rsidR="00992685" w:rsidRPr="00D86D7F" w:rsidRDefault="00F34EE1" w:rsidP="00F34EE1">
      <w:pPr>
        <w:spacing w:line="360" w:lineRule="auto"/>
        <w:rPr>
          <w:bCs/>
        </w:rPr>
      </w:pPr>
      <w:r w:rsidRPr="00D86D7F">
        <w:rPr>
          <w:bCs/>
        </w:rPr>
        <w:t xml:space="preserve">It should be noted that Gedling Borough Council </w:t>
      </w:r>
      <w:r w:rsidR="00D86D7F" w:rsidRPr="00D86D7F">
        <w:rPr>
          <w:bCs/>
        </w:rPr>
        <w:t xml:space="preserve">have </w:t>
      </w:r>
      <w:r w:rsidRPr="00D86D7F">
        <w:rPr>
          <w:bCs/>
        </w:rPr>
        <w:t>collected financial contributions</w:t>
      </w:r>
      <w:r w:rsidR="00D86D7F" w:rsidRPr="00D86D7F">
        <w:rPr>
          <w:bCs/>
        </w:rPr>
        <w:t xml:space="preserve"> </w:t>
      </w:r>
      <w:r w:rsidRPr="00D86D7F">
        <w:rPr>
          <w:bCs/>
        </w:rPr>
        <w:t xml:space="preserve">towards the provision of both Education and Bus Stop Improvements. Whilst it is typically the responsibility of Nottinghamshire County Council to collect contributions regarding Education and Highways Improvements, in each of the relevant cases above, the County Council were </w:t>
      </w:r>
      <w:r w:rsidR="004A1080" w:rsidRPr="00D86D7F">
        <w:rPr>
          <w:bCs/>
        </w:rPr>
        <w:t>the applicants for</w:t>
      </w:r>
      <w:r w:rsidRPr="00D86D7F">
        <w:rPr>
          <w:bCs/>
        </w:rPr>
        <w:t xml:space="preserve"> planning </w:t>
      </w:r>
      <w:r w:rsidR="00A56B11" w:rsidRPr="00D86D7F">
        <w:rPr>
          <w:bCs/>
        </w:rPr>
        <w:t xml:space="preserve">permission </w:t>
      </w:r>
      <w:r w:rsidRPr="00D86D7F">
        <w:rPr>
          <w:bCs/>
        </w:rPr>
        <w:t>and as such were unable to collect the monies from themselves. Gedling Borough Council will release the monies in accordance with the terms and obligations of the relevant Section 106 Agreements.</w:t>
      </w:r>
    </w:p>
    <w:p w14:paraId="424036ED" w14:textId="4191758A" w:rsidR="00F220D7" w:rsidRPr="00A60B01" w:rsidRDefault="00141753" w:rsidP="006A7A1D">
      <w:pPr>
        <w:spacing w:line="360" w:lineRule="auto"/>
        <w:jc w:val="both"/>
        <w:rPr>
          <w:b/>
          <w:bCs/>
        </w:rPr>
      </w:pPr>
      <w:r w:rsidRPr="00A60B01">
        <w:rPr>
          <w:b/>
          <w:bCs/>
        </w:rPr>
        <w:lastRenderedPageBreak/>
        <w:t>3.</w:t>
      </w:r>
      <w:r w:rsidR="00516AC7" w:rsidRPr="00A60B01">
        <w:rPr>
          <w:b/>
          <w:bCs/>
        </w:rPr>
        <w:t>4</w:t>
      </w:r>
      <w:r w:rsidRPr="00A60B01">
        <w:rPr>
          <w:b/>
          <w:bCs/>
        </w:rPr>
        <w:t xml:space="preserve"> Section 106 </w:t>
      </w:r>
      <w:r w:rsidR="009C34C7" w:rsidRPr="00A60B01">
        <w:rPr>
          <w:b/>
          <w:bCs/>
        </w:rPr>
        <w:t>Capital and Revenue Expenditure</w:t>
      </w:r>
    </w:p>
    <w:p w14:paraId="6B84F96A" w14:textId="291D61F7" w:rsidR="00406C04" w:rsidRPr="00D86D7F" w:rsidRDefault="00007E5E" w:rsidP="00A420CB">
      <w:pPr>
        <w:spacing w:line="360" w:lineRule="auto"/>
        <w:jc w:val="both"/>
      </w:pPr>
      <w:r w:rsidRPr="00D86D7F">
        <w:t>In 202</w:t>
      </w:r>
      <w:r w:rsidR="00D86D7F" w:rsidRPr="00D86D7F">
        <w:t>2</w:t>
      </w:r>
      <w:r w:rsidRPr="00D86D7F">
        <w:t>/2</w:t>
      </w:r>
      <w:r w:rsidR="00D86D7F" w:rsidRPr="00D86D7F">
        <w:t>3</w:t>
      </w:r>
      <w:r w:rsidR="00177A12" w:rsidRPr="00D86D7F">
        <w:t xml:space="preserve"> Section 106 Contributions</w:t>
      </w:r>
      <w:r w:rsidR="00644BE4" w:rsidRPr="00D86D7F">
        <w:t xml:space="preserve"> totalling £</w:t>
      </w:r>
      <w:r w:rsidR="00D86D7F" w:rsidRPr="00D86D7F">
        <w:t>280,058</w:t>
      </w:r>
      <w:r w:rsidR="00644BE4" w:rsidRPr="00D86D7F">
        <w:t xml:space="preserve"> were spent on </w:t>
      </w:r>
      <w:r w:rsidR="00BA7D1B" w:rsidRPr="00D86D7F">
        <w:t xml:space="preserve">infrastructure projects across the borough. Table </w:t>
      </w:r>
      <w:r w:rsidR="003E47AA" w:rsidRPr="00D86D7F">
        <w:t>1</w:t>
      </w:r>
      <w:r w:rsidR="001163AB" w:rsidRPr="00D86D7F">
        <w:t>2</w:t>
      </w:r>
      <w:r w:rsidR="004A212C" w:rsidRPr="00D86D7F">
        <w:t xml:space="preserve"> indicates which developments the contributions were drawn down from and what projects they were allocated to.</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3"/>
        <w:gridCol w:w="1707"/>
        <w:gridCol w:w="1758"/>
        <w:gridCol w:w="1719"/>
        <w:gridCol w:w="2339"/>
      </w:tblGrid>
      <w:tr w:rsidR="00205BDF" w:rsidRPr="00205BDF" w14:paraId="7BF64A0E" w14:textId="77777777" w:rsidTr="004F28A5">
        <w:tc>
          <w:tcPr>
            <w:tcW w:w="8926" w:type="dxa"/>
            <w:gridSpan w:val="5"/>
            <w:tcBorders>
              <w:bottom w:val="single" w:sz="4" w:space="0" w:color="auto"/>
            </w:tcBorders>
            <w:shd w:val="clear" w:color="auto" w:fill="000000" w:themeFill="text1"/>
            <w:vAlign w:val="center"/>
          </w:tcPr>
          <w:p w14:paraId="3B3F06D7" w14:textId="763BE163" w:rsidR="001F1916" w:rsidRPr="00205BDF" w:rsidRDefault="001F1916" w:rsidP="001163AB">
            <w:pPr>
              <w:pStyle w:val="NormalIndent"/>
              <w:spacing w:before="120" w:after="120"/>
              <w:ind w:left="0" w:firstLine="0"/>
              <w:jc w:val="left"/>
              <w:rPr>
                <w:b/>
                <w:color w:val="FF0000"/>
              </w:rPr>
            </w:pPr>
            <w:r w:rsidRPr="00D86D7F">
              <w:rPr>
                <w:rFonts w:cs="Arial"/>
                <w:b/>
                <w:bCs/>
                <w:lang w:eastAsia="en-GB"/>
              </w:rPr>
              <w:t xml:space="preserve">Table </w:t>
            </w:r>
            <w:r w:rsidR="003E47AA" w:rsidRPr="00D86D7F">
              <w:rPr>
                <w:rFonts w:cs="Arial"/>
                <w:b/>
                <w:bCs/>
                <w:lang w:eastAsia="en-GB"/>
              </w:rPr>
              <w:t>1</w:t>
            </w:r>
            <w:r w:rsidR="001163AB" w:rsidRPr="00D86D7F">
              <w:rPr>
                <w:rFonts w:cs="Arial"/>
                <w:b/>
                <w:bCs/>
                <w:lang w:eastAsia="en-GB"/>
              </w:rPr>
              <w:t>2</w:t>
            </w:r>
            <w:r w:rsidRPr="00D86D7F">
              <w:rPr>
                <w:rFonts w:cs="Arial"/>
                <w:b/>
                <w:bCs/>
                <w:lang w:eastAsia="en-GB"/>
              </w:rPr>
              <w:t xml:space="preserve">. Capital Contributions </w:t>
            </w:r>
            <w:r w:rsidR="00CD12AD" w:rsidRPr="00D86D7F">
              <w:rPr>
                <w:rFonts w:cs="Arial"/>
                <w:b/>
                <w:bCs/>
                <w:lang w:eastAsia="en-GB"/>
              </w:rPr>
              <w:t>expended</w:t>
            </w:r>
            <w:r w:rsidR="00891289" w:rsidRPr="00D86D7F">
              <w:rPr>
                <w:rFonts w:cs="Arial"/>
                <w:b/>
                <w:bCs/>
                <w:lang w:eastAsia="en-GB"/>
              </w:rPr>
              <w:t xml:space="preserve"> during 20</w:t>
            </w:r>
            <w:r w:rsidR="00092587" w:rsidRPr="00D86D7F">
              <w:rPr>
                <w:rFonts w:cs="Arial"/>
                <w:b/>
                <w:bCs/>
                <w:lang w:eastAsia="en-GB"/>
              </w:rPr>
              <w:t>2</w:t>
            </w:r>
            <w:r w:rsidR="00D86D7F">
              <w:rPr>
                <w:rFonts w:cs="Arial"/>
                <w:b/>
                <w:bCs/>
                <w:lang w:eastAsia="en-GB"/>
              </w:rPr>
              <w:t>2</w:t>
            </w:r>
            <w:r w:rsidR="00891289" w:rsidRPr="00D86D7F">
              <w:rPr>
                <w:rFonts w:cs="Arial"/>
                <w:b/>
                <w:bCs/>
                <w:lang w:eastAsia="en-GB"/>
              </w:rPr>
              <w:t>/</w:t>
            </w:r>
            <w:r w:rsidR="00092587" w:rsidRPr="00D86D7F">
              <w:rPr>
                <w:rFonts w:cs="Arial"/>
                <w:b/>
                <w:bCs/>
                <w:lang w:eastAsia="en-GB"/>
              </w:rPr>
              <w:t>2</w:t>
            </w:r>
            <w:r w:rsidR="00D86D7F">
              <w:rPr>
                <w:rFonts w:cs="Arial"/>
                <w:b/>
                <w:bCs/>
                <w:lang w:eastAsia="en-GB"/>
              </w:rPr>
              <w:t>3</w:t>
            </w:r>
            <w:r w:rsidR="004A1080" w:rsidRPr="00D86D7F">
              <w:rPr>
                <w:rFonts w:cs="Arial"/>
                <w:b/>
                <w:bCs/>
                <w:lang w:eastAsia="en-GB"/>
              </w:rPr>
              <w:t xml:space="preserve"> </w:t>
            </w:r>
            <w:r w:rsidR="004A1080" w:rsidRPr="00D86D7F">
              <w:rPr>
                <w:b/>
                <w:bCs/>
              </w:rPr>
              <w:t>(to the nearest £)</w:t>
            </w:r>
          </w:p>
        </w:tc>
      </w:tr>
      <w:tr w:rsidR="00205BDF" w:rsidRPr="00205BDF" w14:paraId="557349F7" w14:textId="77777777" w:rsidTr="004F28A5">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93C66F" w14:textId="77777777" w:rsidR="00BA7D1B" w:rsidRPr="00D86D7F" w:rsidRDefault="00BA7D1B" w:rsidP="004F28A5">
            <w:pPr>
              <w:pStyle w:val="NormalIndent"/>
              <w:spacing w:before="120" w:after="120"/>
              <w:ind w:left="0" w:firstLine="0"/>
              <w:jc w:val="center"/>
              <w:rPr>
                <w:b/>
              </w:rPr>
            </w:pPr>
            <w:r w:rsidRPr="00D86D7F">
              <w:rPr>
                <w:b/>
              </w:rPr>
              <w:t>Site</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05615" w14:textId="77777777" w:rsidR="00BA7D1B" w:rsidRPr="00D86D7F" w:rsidRDefault="00BA7D1B" w:rsidP="004F28A5">
            <w:pPr>
              <w:pStyle w:val="NormalIndent"/>
              <w:spacing w:before="120" w:after="120"/>
              <w:ind w:left="0" w:firstLine="0"/>
              <w:jc w:val="center"/>
              <w:rPr>
                <w:b/>
              </w:rPr>
            </w:pPr>
            <w:r w:rsidRPr="00D86D7F">
              <w:rPr>
                <w:b/>
              </w:rPr>
              <w:t>Application Reference</w:t>
            </w:r>
          </w:p>
        </w:tc>
        <w:tc>
          <w:tcPr>
            <w:tcW w:w="1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634196" w14:textId="05A397FF" w:rsidR="00BA7D1B" w:rsidRPr="00D86D7F" w:rsidRDefault="00BA7D1B" w:rsidP="004F28A5">
            <w:pPr>
              <w:pStyle w:val="NormalIndent"/>
              <w:spacing w:before="120" w:after="120"/>
              <w:ind w:left="0" w:firstLine="0"/>
              <w:jc w:val="center"/>
              <w:rPr>
                <w:b/>
              </w:rPr>
            </w:pPr>
            <w:r w:rsidRPr="00D86D7F">
              <w:rPr>
                <w:b/>
              </w:rPr>
              <w:t xml:space="preserve">S106 Contribution </w:t>
            </w:r>
            <w:r w:rsidR="00210856" w:rsidRPr="00D86D7F">
              <w:rPr>
                <w:b/>
              </w:rPr>
              <w:t>Received</w:t>
            </w:r>
          </w:p>
        </w:tc>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D80F27" w14:textId="77777777" w:rsidR="00BA7D1B" w:rsidRPr="00D86D7F" w:rsidRDefault="00BA7D1B" w:rsidP="004F28A5">
            <w:pPr>
              <w:pStyle w:val="NormalIndent"/>
              <w:spacing w:before="120" w:after="120"/>
              <w:ind w:left="0" w:firstLine="0"/>
              <w:jc w:val="center"/>
              <w:rPr>
                <w:b/>
              </w:rPr>
            </w:pPr>
            <w:r w:rsidRPr="00D86D7F">
              <w:rPr>
                <w:b/>
              </w:rPr>
              <w:t>Amount Spent</w:t>
            </w:r>
          </w:p>
        </w:tc>
        <w:tc>
          <w:tcPr>
            <w:tcW w:w="2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CA2828" w14:textId="77777777" w:rsidR="00BA7D1B" w:rsidRPr="00D86D7F" w:rsidRDefault="00BA7D1B" w:rsidP="004F28A5">
            <w:pPr>
              <w:pStyle w:val="NormalIndent"/>
              <w:spacing w:before="120" w:after="120"/>
              <w:ind w:left="0" w:firstLine="0"/>
              <w:jc w:val="center"/>
              <w:rPr>
                <w:b/>
              </w:rPr>
            </w:pPr>
            <w:r w:rsidRPr="00D86D7F">
              <w:rPr>
                <w:b/>
              </w:rPr>
              <w:t>Provision/Project Funded</w:t>
            </w:r>
          </w:p>
        </w:tc>
      </w:tr>
      <w:tr w:rsidR="00D86D7F" w:rsidRPr="00205BDF" w14:paraId="32556E31" w14:textId="77777777" w:rsidTr="004F28A5">
        <w:tc>
          <w:tcPr>
            <w:tcW w:w="1403" w:type="dxa"/>
            <w:tcBorders>
              <w:top w:val="single" w:sz="4" w:space="0" w:color="auto"/>
              <w:left w:val="single" w:sz="4" w:space="0" w:color="auto"/>
              <w:bottom w:val="single" w:sz="4" w:space="0" w:color="auto"/>
              <w:right w:val="single" w:sz="4" w:space="0" w:color="auto"/>
            </w:tcBorders>
            <w:shd w:val="clear" w:color="auto" w:fill="auto"/>
            <w:vAlign w:val="center"/>
          </w:tcPr>
          <w:p w14:paraId="42E974DA" w14:textId="13A640F9" w:rsidR="00D86D7F" w:rsidRPr="004F28A5" w:rsidRDefault="00D86D7F" w:rsidP="004F28A5">
            <w:pPr>
              <w:pStyle w:val="NormalIndent"/>
              <w:spacing w:before="120" w:after="120"/>
              <w:ind w:left="0" w:firstLine="0"/>
              <w:jc w:val="center"/>
            </w:pPr>
            <w:r w:rsidRPr="004F28A5">
              <w:t>Mill Field Close, Burton Joyce</w:t>
            </w:r>
          </w:p>
        </w:tc>
        <w:tc>
          <w:tcPr>
            <w:tcW w:w="1707" w:type="dxa"/>
            <w:tcBorders>
              <w:top w:val="single" w:sz="4" w:space="0" w:color="auto"/>
              <w:left w:val="single" w:sz="4" w:space="0" w:color="auto"/>
              <w:bottom w:val="single" w:sz="4" w:space="0" w:color="auto"/>
              <w:right w:val="single" w:sz="4" w:space="0" w:color="auto"/>
            </w:tcBorders>
            <w:shd w:val="clear" w:color="auto" w:fill="auto"/>
            <w:vAlign w:val="center"/>
          </w:tcPr>
          <w:p w14:paraId="1134AD29" w14:textId="0F1DAB2E" w:rsidR="00D86D7F" w:rsidRPr="004F28A5" w:rsidRDefault="00D86D7F" w:rsidP="004F28A5">
            <w:pPr>
              <w:pStyle w:val="NormalIndent"/>
              <w:spacing w:before="120" w:after="120"/>
              <w:ind w:left="0" w:firstLine="0"/>
              <w:jc w:val="center"/>
            </w:pPr>
            <w:r w:rsidRPr="004F28A5">
              <w:t>2015/0424</w:t>
            </w:r>
          </w:p>
        </w:tc>
        <w:tc>
          <w:tcPr>
            <w:tcW w:w="1758" w:type="dxa"/>
            <w:tcBorders>
              <w:top w:val="single" w:sz="4" w:space="0" w:color="auto"/>
              <w:left w:val="single" w:sz="4" w:space="0" w:color="auto"/>
              <w:bottom w:val="single" w:sz="4" w:space="0" w:color="auto"/>
              <w:right w:val="single" w:sz="4" w:space="0" w:color="auto"/>
            </w:tcBorders>
            <w:shd w:val="clear" w:color="auto" w:fill="auto"/>
            <w:vAlign w:val="center"/>
          </w:tcPr>
          <w:p w14:paraId="2CE3A8D4" w14:textId="6D910D6D" w:rsidR="00D86D7F" w:rsidRPr="004F28A5" w:rsidRDefault="004F28A5" w:rsidP="004F28A5">
            <w:pPr>
              <w:pStyle w:val="NormalIndent"/>
              <w:spacing w:before="120" w:after="120"/>
              <w:ind w:left="0" w:firstLine="0"/>
              <w:jc w:val="center"/>
            </w:pPr>
            <w:r w:rsidRPr="004F28A5">
              <w:t>£69,946</w:t>
            </w:r>
          </w:p>
        </w:tc>
        <w:tc>
          <w:tcPr>
            <w:tcW w:w="1719" w:type="dxa"/>
            <w:tcBorders>
              <w:top w:val="single" w:sz="4" w:space="0" w:color="auto"/>
              <w:left w:val="single" w:sz="4" w:space="0" w:color="auto"/>
              <w:bottom w:val="single" w:sz="4" w:space="0" w:color="auto"/>
              <w:right w:val="single" w:sz="4" w:space="0" w:color="auto"/>
            </w:tcBorders>
            <w:shd w:val="clear" w:color="auto" w:fill="auto"/>
            <w:vAlign w:val="center"/>
          </w:tcPr>
          <w:p w14:paraId="34D0A9ED" w14:textId="6827039D" w:rsidR="00D86D7F" w:rsidRPr="004F28A5" w:rsidRDefault="00D86D7F" w:rsidP="004F28A5">
            <w:pPr>
              <w:pStyle w:val="NormalIndent"/>
              <w:spacing w:before="120" w:after="120"/>
              <w:ind w:left="0" w:firstLine="0"/>
              <w:jc w:val="center"/>
            </w:pPr>
            <w:r w:rsidRPr="004F28A5">
              <w:rPr>
                <w:rFonts w:cs="Arial"/>
                <w:szCs w:val="22"/>
              </w:rPr>
              <w:t>£69,946</w:t>
            </w:r>
          </w:p>
        </w:tc>
        <w:tc>
          <w:tcPr>
            <w:tcW w:w="2339" w:type="dxa"/>
            <w:tcBorders>
              <w:top w:val="single" w:sz="4" w:space="0" w:color="auto"/>
              <w:left w:val="single" w:sz="4" w:space="0" w:color="auto"/>
              <w:bottom w:val="single" w:sz="4" w:space="0" w:color="auto"/>
              <w:right w:val="single" w:sz="4" w:space="0" w:color="auto"/>
            </w:tcBorders>
            <w:shd w:val="clear" w:color="auto" w:fill="auto"/>
            <w:vAlign w:val="center"/>
          </w:tcPr>
          <w:p w14:paraId="46833357" w14:textId="56D9CD7B" w:rsidR="00D86D7F" w:rsidRPr="00D86D7F" w:rsidRDefault="004F28A5" w:rsidP="004F28A5">
            <w:pPr>
              <w:pStyle w:val="NormalIndent"/>
              <w:spacing w:before="120" w:after="120"/>
              <w:ind w:left="0" w:firstLine="0"/>
              <w:jc w:val="center"/>
            </w:pPr>
            <w:r>
              <w:rPr>
                <w:rFonts w:cs="Arial"/>
                <w:szCs w:val="22"/>
              </w:rPr>
              <w:t>Covered outdoor Community Space / Garden at The Old School Building, Main Street, Burton Joyce</w:t>
            </w:r>
          </w:p>
        </w:tc>
      </w:tr>
      <w:tr w:rsidR="00D86D7F" w:rsidRPr="00205BDF" w14:paraId="7ADADCE9" w14:textId="77777777" w:rsidTr="004F28A5">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1229F" w14:textId="70FB2C51" w:rsidR="00D86D7F" w:rsidRPr="004F28A5" w:rsidRDefault="00D86D7F" w:rsidP="004F28A5">
            <w:pPr>
              <w:pStyle w:val="NormalIndent"/>
              <w:spacing w:before="120" w:after="120"/>
              <w:ind w:left="0" w:firstLine="0"/>
              <w:jc w:val="center"/>
              <w:rPr>
                <w:rFonts w:cs="Arial"/>
                <w:szCs w:val="22"/>
                <w:lang w:eastAsia="en-GB"/>
              </w:rPr>
            </w:pPr>
            <w:r w:rsidRPr="004F28A5">
              <w:rPr>
                <w:rFonts w:cs="Arial"/>
                <w:szCs w:val="22"/>
                <w:lang w:eastAsia="en-GB"/>
              </w:rPr>
              <w:t xml:space="preserve">Land </w:t>
            </w:r>
            <w:proofErr w:type="gramStart"/>
            <w:r w:rsidRPr="004F28A5">
              <w:rPr>
                <w:rFonts w:cs="Arial"/>
                <w:szCs w:val="22"/>
                <w:lang w:eastAsia="en-GB"/>
              </w:rPr>
              <w:t>North West</w:t>
            </w:r>
            <w:proofErr w:type="gramEnd"/>
            <w:r w:rsidRPr="004F28A5">
              <w:rPr>
                <w:rFonts w:cs="Arial"/>
                <w:szCs w:val="22"/>
                <w:lang w:eastAsia="en-GB"/>
              </w:rPr>
              <w:t xml:space="preserve"> Park Road, Calverton</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49F8EB" w14:textId="6A2E6069" w:rsidR="00D86D7F" w:rsidRPr="004F28A5" w:rsidRDefault="00D86D7F" w:rsidP="004F28A5">
            <w:pPr>
              <w:pStyle w:val="NormalIndent"/>
              <w:spacing w:before="120" w:after="120"/>
              <w:ind w:left="0" w:firstLine="0"/>
              <w:jc w:val="center"/>
            </w:pPr>
            <w:r w:rsidRPr="004F28A5">
              <w:t>2018/0607</w:t>
            </w:r>
          </w:p>
        </w:tc>
        <w:tc>
          <w:tcPr>
            <w:tcW w:w="1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DF09F7" w14:textId="398803CB" w:rsidR="00D86D7F" w:rsidRPr="004F28A5" w:rsidRDefault="004F28A5" w:rsidP="004F28A5">
            <w:pPr>
              <w:pStyle w:val="NormalIndent"/>
              <w:spacing w:before="120" w:after="120"/>
              <w:ind w:left="0" w:firstLine="0"/>
              <w:jc w:val="center"/>
            </w:pPr>
            <w:r w:rsidRPr="004F28A5">
              <w:t>£36,336</w:t>
            </w:r>
          </w:p>
        </w:tc>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8E2438" w14:textId="31D63782" w:rsidR="00D86D7F" w:rsidRPr="004F28A5" w:rsidRDefault="00D86D7F" w:rsidP="004F28A5">
            <w:pPr>
              <w:pStyle w:val="NormalIndent"/>
              <w:spacing w:before="120" w:after="120"/>
              <w:ind w:left="0" w:firstLine="0"/>
              <w:jc w:val="center"/>
              <w:rPr>
                <w:rFonts w:cs="Arial"/>
                <w:szCs w:val="22"/>
                <w:lang w:eastAsia="en-GB"/>
              </w:rPr>
            </w:pPr>
            <w:r w:rsidRPr="004F28A5">
              <w:rPr>
                <w:rFonts w:cs="Arial"/>
                <w:szCs w:val="22"/>
              </w:rPr>
              <w:t>£36,336</w:t>
            </w:r>
          </w:p>
        </w:tc>
        <w:tc>
          <w:tcPr>
            <w:tcW w:w="2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EE951A" w14:textId="3D597890" w:rsidR="00D86D7F" w:rsidRPr="00D86D7F" w:rsidRDefault="004F28A5" w:rsidP="004F28A5">
            <w:pPr>
              <w:pStyle w:val="NormalIndent"/>
              <w:spacing w:before="120" w:after="120"/>
              <w:ind w:left="0" w:firstLine="0"/>
              <w:jc w:val="center"/>
            </w:pPr>
            <w:r>
              <w:rPr>
                <w:rFonts w:cs="Arial"/>
                <w:szCs w:val="22"/>
              </w:rPr>
              <w:t>Enhancement of play facilities at William Lee Memorial Park, Calverton</w:t>
            </w:r>
          </w:p>
        </w:tc>
      </w:tr>
      <w:tr w:rsidR="00D86D7F" w:rsidRPr="00205BDF" w14:paraId="3F6BCC1F" w14:textId="77777777" w:rsidTr="004F28A5">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B5DFC1" w14:textId="4DC8CF9E" w:rsidR="00D86D7F" w:rsidRPr="004F28A5" w:rsidRDefault="00D86D7F" w:rsidP="004F28A5">
            <w:pPr>
              <w:pStyle w:val="NormalIndent"/>
              <w:spacing w:before="120" w:after="120"/>
              <w:ind w:left="0" w:firstLine="0"/>
              <w:jc w:val="center"/>
              <w:rPr>
                <w:lang w:eastAsia="en-GB"/>
              </w:rPr>
            </w:pPr>
            <w:r w:rsidRPr="004F28A5">
              <w:rPr>
                <w:lang w:eastAsia="en-GB"/>
              </w:rPr>
              <w:t>Land Adj Dark Lane, Calverton</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55F469" w14:textId="537F9FFB" w:rsidR="00D86D7F" w:rsidRPr="004F28A5" w:rsidRDefault="00D86D7F" w:rsidP="004F28A5">
            <w:pPr>
              <w:pStyle w:val="NormalIndent"/>
              <w:spacing w:before="120" w:after="120"/>
              <w:ind w:left="0" w:firstLine="0"/>
              <w:jc w:val="center"/>
            </w:pPr>
            <w:r w:rsidRPr="004F28A5">
              <w:t>2017/1263</w:t>
            </w:r>
          </w:p>
        </w:tc>
        <w:tc>
          <w:tcPr>
            <w:tcW w:w="17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8E3F62" w14:textId="5BD0FAED" w:rsidR="00D86D7F" w:rsidRPr="004F28A5" w:rsidRDefault="004F28A5" w:rsidP="004F28A5">
            <w:pPr>
              <w:pStyle w:val="NormalIndent"/>
              <w:spacing w:before="120" w:after="120"/>
              <w:ind w:left="0" w:firstLine="0"/>
              <w:jc w:val="center"/>
            </w:pPr>
            <w:r w:rsidRPr="004F28A5">
              <w:t>£39,862</w:t>
            </w:r>
          </w:p>
        </w:tc>
        <w:tc>
          <w:tcPr>
            <w:tcW w:w="17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2240E9" w14:textId="1315EF67" w:rsidR="00D86D7F" w:rsidRPr="004F28A5" w:rsidRDefault="00D86D7F" w:rsidP="004F28A5">
            <w:pPr>
              <w:pStyle w:val="NormalIndent"/>
              <w:spacing w:before="120" w:after="120"/>
              <w:ind w:left="0" w:firstLine="0"/>
              <w:jc w:val="center"/>
              <w:rPr>
                <w:lang w:eastAsia="en-GB"/>
              </w:rPr>
            </w:pPr>
            <w:r w:rsidRPr="004F28A5">
              <w:rPr>
                <w:rFonts w:cs="Arial"/>
                <w:szCs w:val="22"/>
              </w:rPr>
              <w:t>£39,862</w:t>
            </w:r>
          </w:p>
        </w:tc>
        <w:tc>
          <w:tcPr>
            <w:tcW w:w="233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20E7DD" w14:textId="03E8D73D" w:rsidR="00D86D7F" w:rsidRPr="00D86D7F" w:rsidRDefault="004F28A5" w:rsidP="004F28A5">
            <w:pPr>
              <w:pStyle w:val="NormalIndent"/>
              <w:spacing w:before="120" w:after="120"/>
              <w:ind w:left="0" w:firstLine="0"/>
              <w:jc w:val="center"/>
            </w:pPr>
            <w:r>
              <w:rPr>
                <w:rFonts w:cs="Arial"/>
                <w:szCs w:val="22"/>
              </w:rPr>
              <w:t>Enhancement of play facilities at James Seely Park, Calverton</w:t>
            </w:r>
          </w:p>
        </w:tc>
      </w:tr>
      <w:tr w:rsidR="00D86D7F" w:rsidRPr="00205BDF" w14:paraId="4CDA8142" w14:textId="77777777" w:rsidTr="004F28A5">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3C6F3" w14:textId="31F6E22B" w:rsidR="00D86D7F" w:rsidRPr="00EF2A18" w:rsidRDefault="00EF2A18" w:rsidP="004F28A5">
            <w:pPr>
              <w:pStyle w:val="NormalIndent"/>
              <w:spacing w:before="120" w:after="120"/>
              <w:ind w:left="0" w:firstLine="0"/>
              <w:jc w:val="center"/>
              <w:rPr>
                <w:lang w:eastAsia="en-GB"/>
              </w:rPr>
            </w:pPr>
            <w:r w:rsidRPr="00EF2A18">
              <w:rPr>
                <w:lang w:eastAsia="en-GB"/>
              </w:rPr>
              <w:t>Land west of Beeston Close, Bestwood</w:t>
            </w:r>
          </w:p>
        </w:tc>
        <w:tc>
          <w:tcPr>
            <w:tcW w:w="17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144FCB" w14:textId="6D32ED0A" w:rsidR="00D86D7F" w:rsidRPr="00EF2A18" w:rsidRDefault="00EF2A18" w:rsidP="004F28A5">
            <w:pPr>
              <w:pStyle w:val="NormalIndent"/>
              <w:spacing w:before="120" w:after="120"/>
              <w:ind w:left="0" w:firstLine="0"/>
              <w:jc w:val="center"/>
            </w:pPr>
            <w:r w:rsidRPr="00EF2A18">
              <w:t>2017/0194</w:t>
            </w:r>
          </w:p>
        </w:tc>
        <w:tc>
          <w:tcPr>
            <w:tcW w:w="1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5C76E" w14:textId="310D7645" w:rsidR="00D86D7F" w:rsidRPr="00EF2A18" w:rsidRDefault="00EF2A18" w:rsidP="004F28A5">
            <w:pPr>
              <w:pStyle w:val="NormalIndent"/>
              <w:spacing w:before="120" w:after="120"/>
              <w:ind w:left="0" w:firstLine="0"/>
              <w:jc w:val="center"/>
            </w:pPr>
            <w:r w:rsidRPr="00EF2A18">
              <w:t>£36,286</w:t>
            </w:r>
          </w:p>
        </w:tc>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00B900" w14:textId="21B76881" w:rsidR="00D86D7F" w:rsidRPr="00EF2A18" w:rsidRDefault="00D86D7F" w:rsidP="004F28A5">
            <w:pPr>
              <w:pStyle w:val="NormalIndent"/>
              <w:spacing w:before="120" w:after="120"/>
              <w:ind w:left="0" w:firstLine="0"/>
              <w:jc w:val="center"/>
              <w:rPr>
                <w:lang w:eastAsia="en-GB"/>
              </w:rPr>
            </w:pPr>
            <w:r w:rsidRPr="00EF2A18">
              <w:rPr>
                <w:rFonts w:cs="Arial"/>
                <w:szCs w:val="22"/>
              </w:rPr>
              <w:t>£575</w:t>
            </w:r>
          </w:p>
        </w:tc>
        <w:tc>
          <w:tcPr>
            <w:tcW w:w="2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C62085" w14:textId="1430E373" w:rsidR="00D86D7F" w:rsidRPr="00EF2A18" w:rsidRDefault="00D86D7F" w:rsidP="004F28A5">
            <w:pPr>
              <w:pStyle w:val="NormalIndent"/>
              <w:spacing w:before="120" w:after="120"/>
              <w:ind w:left="0" w:firstLine="0"/>
              <w:jc w:val="center"/>
            </w:pPr>
            <w:r w:rsidRPr="00EF2A18">
              <w:rPr>
                <w:rFonts w:cs="Arial"/>
                <w:szCs w:val="22"/>
              </w:rPr>
              <w:t>Bestwood Country Park - Topographical Surveys</w:t>
            </w:r>
          </w:p>
        </w:tc>
      </w:tr>
      <w:tr w:rsidR="004F28A5" w:rsidRPr="00205BDF" w14:paraId="6E6E5AD4" w14:textId="77777777" w:rsidTr="004F28A5">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5A00B" w14:textId="0540459F" w:rsidR="004F28A5" w:rsidRPr="004F28A5" w:rsidRDefault="004F28A5" w:rsidP="004F28A5">
            <w:pPr>
              <w:pStyle w:val="NormalIndent"/>
              <w:spacing w:before="120" w:after="120"/>
              <w:ind w:left="0" w:firstLine="0"/>
              <w:jc w:val="center"/>
              <w:rPr>
                <w:lang w:eastAsia="en-GB"/>
              </w:rPr>
            </w:pPr>
            <w:r w:rsidRPr="004F28A5">
              <w:rPr>
                <w:rFonts w:cs="Arial"/>
                <w:szCs w:val="22"/>
                <w:lang w:eastAsia="en-GB"/>
              </w:rPr>
              <w:t xml:space="preserve">Land </w:t>
            </w:r>
            <w:proofErr w:type="gramStart"/>
            <w:r w:rsidRPr="004F28A5">
              <w:rPr>
                <w:rFonts w:cs="Arial"/>
                <w:szCs w:val="22"/>
                <w:lang w:eastAsia="en-GB"/>
              </w:rPr>
              <w:t>North West</w:t>
            </w:r>
            <w:proofErr w:type="gramEnd"/>
            <w:r w:rsidRPr="004F28A5">
              <w:rPr>
                <w:rFonts w:cs="Arial"/>
                <w:szCs w:val="22"/>
                <w:lang w:eastAsia="en-GB"/>
              </w:rPr>
              <w:t xml:space="preserve"> Park Road, Calverton</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984B7" w14:textId="167DE2E9" w:rsidR="004F28A5" w:rsidRPr="004F28A5" w:rsidRDefault="004F28A5" w:rsidP="004F28A5">
            <w:pPr>
              <w:pStyle w:val="NormalIndent"/>
              <w:spacing w:before="120" w:after="120"/>
              <w:ind w:left="0" w:firstLine="0"/>
              <w:jc w:val="center"/>
            </w:pPr>
            <w:r w:rsidRPr="004F28A5">
              <w:t>2018/0607</w:t>
            </w:r>
          </w:p>
        </w:tc>
        <w:tc>
          <w:tcPr>
            <w:tcW w:w="175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5153C" w14:textId="722CEB64" w:rsidR="004F28A5" w:rsidRPr="00205BDF" w:rsidRDefault="004F28A5" w:rsidP="004F28A5">
            <w:pPr>
              <w:pStyle w:val="NormalIndent"/>
              <w:spacing w:before="120" w:after="120"/>
              <w:ind w:left="0" w:firstLine="0"/>
              <w:jc w:val="center"/>
              <w:rPr>
                <w:color w:val="FF0000"/>
              </w:rPr>
            </w:pPr>
            <w:r w:rsidRPr="004F28A5">
              <w:t>£147,948</w:t>
            </w:r>
          </w:p>
        </w:tc>
        <w:tc>
          <w:tcPr>
            <w:tcW w:w="17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1C4D7B" w14:textId="32926A4D" w:rsidR="004F28A5" w:rsidRPr="00D86D7F" w:rsidRDefault="004F28A5" w:rsidP="004F28A5">
            <w:pPr>
              <w:pStyle w:val="NormalIndent"/>
              <w:spacing w:before="120" w:after="120"/>
              <w:ind w:left="0" w:firstLine="0"/>
              <w:jc w:val="center"/>
              <w:rPr>
                <w:lang w:eastAsia="en-GB"/>
              </w:rPr>
            </w:pPr>
            <w:r w:rsidRPr="00D86D7F">
              <w:rPr>
                <w:rFonts w:cs="Arial"/>
                <w:szCs w:val="22"/>
              </w:rPr>
              <w:t>£133,339</w:t>
            </w:r>
          </w:p>
        </w:tc>
        <w:tc>
          <w:tcPr>
            <w:tcW w:w="233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52161" w14:textId="7E06FF9A" w:rsidR="004F28A5" w:rsidRPr="00D86D7F" w:rsidRDefault="00CF0C82" w:rsidP="004F28A5">
            <w:pPr>
              <w:pStyle w:val="NormalIndent"/>
              <w:spacing w:before="120" w:after="120"/>
              <w:ind w:left="0" w:firstLine="0"/>
              <w:jc w:val="center"/>
            </w:pPr>
            <w:r>
              <w:t xml:space="preserve">Expansion and renovation of The Calverton Practice, 2a </w:t>
            </w:r>
            <w:proofErr w:type="spellStart"/>
            <w:r>
              <w:t>Wilfreds</w:t>
            </w:r>
            <w:proofErr w:type="spellEnd"/>
            <w:r>
              <w:t xml:space="preserve"> Square, Calverton</w:t>
            </w:r>
          </w:p>
        </w:tc>
      </w:tr>
      <w:tr w:rsidR="004F28A5" w:rsidRPr="00205BDF" w14:paraId="079A7F60" w14:textId="77777777" w:rsidTr="004F28A5">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6CB09" w14:textId="5DAF5F5A" w:rsidR="004F28A5" w:rsidRPr="004F28A5" w:rsidRDefault="004F28A5" w:rsidP="004F28A5">
            <w:pPr>
              <w:pStyle w:val="NormalIndent"/>
              <w:spacing w:before="120" w:after="120"/>
              <w:ind w:left="0" w:firstLine="0"/>
              <w:jc w:val="center"/>
              <w:rPr>
                <w:lang w:eastAsia="en-GB"/>
              </w:rPr>
            </w:pPr>
            <w:r w:rsidRPr="004F28A5">
              <w:rPr>
                <w:rFonts w:cs="Arial"/>
                <w:szCs w:val="22"/>
                <w:lang w:eastAsia="en-GB"/>
              </w:rPr>
              <w:t>Land on Flatts Lane, Calverton</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D7D9E8" w14:textId="4885D1F1" w:rsidR="004F28A5" w:rsidRPr="004F28A5" w:rsidRDefault="004F28A5" w:rsidP="004F28A5">
            <w:pPr>
              <w:pStyle w:val="NormalIndent"/>
              <w:spacing w:before="120" w:after="120"/>
              <w:ind w:left="0" w:firstLine="0"/>
              <w:jc w:val="center"/>
            </w:pPr>
            <w:r w:rsidRPr="004F28A5">
              <w:t>2018/1143</w:t>
            </w:r>
          </w:p>
        </w:tc>
        <w:tc>
          <w:tcPr>
            <w:tcW w:w="17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F779E" w14:textId="77777777" w:rsidR="004F28A5" w:rsidRPr="00205BDF" w:rsidRDefault="004F28A5" w:rsidP="004F28A5">
            <w:pPr>
              <w:pStyle w:val="NormalIndent"/>
              <w:spacing w:before="120" w:after="120"/>
              <w:ind w:left="0" w:firstLine="0"/>
              <w:jc w:val="center"/>
              <w:rPr>
                <w:color w:val="FF0000"/>
              </w:rPr>
            </w:pPr>
          </w:p>
        </w:tc>
        <w:tc>
          <w:tcPr>
            <w:tcW w:w="17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2CB62D" w14:textId="77777777" w:rsidR="004F28A5" w:rsidRPr="00D86D7F" w:rsidRDefault="004F28A5" w:rsidP="004F28A5">
            <w:pPr>
              <w:pStyle w:val="NormalIndent"/>
              <w:spacing w:before="120" w:after="120"/>
              <w:ind w:left="0" w:firstLine="0"/>
              <w:jc w:val="center"/>
              <w:rPr>
                <w:rFonts w:cs="Arial"/>
                <w:szCs w:val="22"/>
              </w:rPr>
            </w:pPr>
          </w:p>
        </w:tc>
        <w:tc>
          <w:tcPr>
            <w:tcW w:w="23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55A4A8" w14:textId="77777777" w:rsidR="004F28A5" w:rsidRPr="00D86D7F" w:rsidRDefault="004F28A5" w:rsidP="004F28A5">
            <w:pPr>
              <w:pStyle w:val="NormalIndent"/>
              <w:spacing w:before="120" w:after="120"/>
              <w:ind w:left="0" w:firstLine="0"/>
              <w:jc w:val="center"/>
              <w:rPr>
                <w:rFonts w:cs="Arial"/>
                <w:szCs w:val="22"/>
              </w:rPr>
            </w:pPr>
          </w:p>
        </w:tc>
      </w:tr>
      <w:tr w:rsidR="004F28A5" w:rsidRPr="00205BDF" w14:paraId="18352D5E" w14:textId="77777777" w:rsidTr="004F28A5">
        <w:tc>
          <w:tcPr>
            <w:tcW w:w="14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F9712D" w14:textId="101DCDF9" w:rsidR="004F28A5" w:rsidRPr="004F28A5" w:rsidRDefault="004F28A5" w:rsidP="004F28A5">
            <w:pPr>
              <w:pStyle w:val="NormalIndent"/>
              <w:spacing w:before="120" w:after="120"/>
              <w:ind w:left="0" w:firstLine="0"/>
              <w:jc w:val="center"/>
              <w:rPr>
                <w:lang w:eastAsia="en-GB"/>
              </w:rPr>
            </w:pPr>
            <w:r w:rsidRPr="004F28A5">
              <w:rPr>
                <w:rFonts w:cs="Arial"/>
                <w:szCs w:val="22"/>
                <w:lang w:eastAsia="en-GB"/>
              </w:rPr>
              <w:t>Land Adj Dark Lane, Calverton</w:t>
            </w:r>
          </w:p>
        </w:tc>
        <w:tc>
          <w:tcPr>
            <w:tcW w:w="1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779F32" w14:textId="7D834482" w:rsidR="004F28A5" w:rsidRPr="004F28A5" w:rsidRDefault="004F28A5" w:rsidP="004F28A5">
            <w:pPr>
              <w:pStyle w:val="NormalIndent"/>
              <w:spacing w:before="120" w:after="120"/>
              <w:ind w:left="0" w:firstLine="0"/>
              <w:jc w:val="center"/>
            </w:pPr>
            <w:r w:rsidRPr="004F28A5">
              <w:t>2017/1263</w:t>
            </w:r>
          </w:p>
        </w:tc>
        <w:tc>
          <w:tcPr>
            <w:tcW w:w="175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22FE74" w14:textId="77777777" w:rsidR="004F28A5" w:rsidRPr="00205BDF" w:rsidRDefault="004F28A5" w:rsidP="004F28A5">
            <w:pPr>
              <w:pStyle w:val="NormalIndent"/>
              <w:spacing w:before="120" w:after="120"/>
              <w:ind w:left="0" w:firstLine="0"/>
              <w:jc w:val="center"/>
              <w:rPr>
                <w:color w:val="FF0000"/>
              </w:rPr>
            </w:pPr>
          </w:p>
        </w:tc>
        <w:tc>
          <w:tcPr>
            <w:tcW w:w="17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8984F" w14:textId="77777777" w:rsidR="004F28A5" w:rsidRPr="00D86D7F" w:rsidRDefault="004F28A5" w:rsidP="004F28A5">
            <w:pPr>
              <w:pStyle w:val="NormalIndent"/>
              <w:spacing w:before="120" w:after="120"/>
              <w:ind w:left="0" w:firstLine="0"/>
              <w:jc w:val="center"/>
              <w:rPr>
                <w:rFonts w:cs="Arial"/>
                <w:szCs w:val="22"/>
              </w:rPr>
            </w:pPr>
          </w:p>
        </w:tc>
        <w:tc>
          <w:tcPr>
            <w:tcW w:w="233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7E552" w14:textId="77777777" w:rsidR="004F28A5" w:rsidRPr="00D86D7F" w:rsidRDefault="004F28A5" w:rsidP="004F28A5">
            <w:pPr>
              <w:pStyle w:val="NormalIndent"/>
              <w:spacing w:before="120" w:after="120"/>
              <w:ind w:left="0" w:firstLine="0"/>
              <w:jc w:val="center"/>
              <w:rPr>
                <w:rFonts w:cs="Arial"/>
                <w:szCs w:val="22"/>
              </w:rPr>
            </w:pPr>
          </w:p>
        </w:tc>
      </w:tr>
      <w:tr w:rsidR="00D86D7F" w:rsidRPr="00205BDF" w14:paraId="13770123" w14:textId="77777777" w:rsidTr="004F28A5">
        <w:tc>
          <w:tcPr>
            <w:tcW w:w="14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04281B" w14:textId="46D26426" w:rsidR="00D86D7F" w:rsidRPr="00205BDF" w:rsidRDefault="00D86D7F" w:rsidP="004F28A5">
            <w:pPr>
              <w:pStyle w:val="NormalIndent"/>
              <w:spacing w:before="120" w:after="120"/>
              <w:ind w:left="0" w:firstLine="0"/>
              <w:jc w:val="center"/>
              <w:rPr>
                <w:rFonts w:cs="Arial"/>
                <w:b/>
                <w:color w:val="FF0000"/>
                <w:szCs w:val="22"/>
                <w:lang w:eastAsia="en-GB"/>
              </w:rPr>
            </w:pPr>
            <w:r w:rsidRPr="00D86D7F">
              <w:rPr>
                <w:b/>
                <w:bCs/>
                <w:lang w:eastAsia="en-GB"/>
              </w:rPr>
              <w:t>Total</w:t>
            </w:r>
          </w:p>
        </w:tc>
        <w:tc>
          <w:tcPr>
            <w:tcW w:w="346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8344BD" w14:textId="77777777" w:rsidR="00D86D7F" w:rsidRPr="00D86D7F" w:rsidRDefault="00D86D7F" w:rsidP="004F28A5">
            <w:pPr>
              <w:pStyle w:val="NormalIndent"/>
              <w:spacing w:before="120" w:after="120"/>
              <w:ind w:left="0" w:firstLine="0"/>
              <w:jc w:val="center"/>
              <w:rPr>
                <w:rFonts w:cs="Arial"/>
                <w:szCs w:val="22"/>
                <w:lang w:eastAsia="en-GB"/>
              </w:rPr>
            </w:pPr>
          </w:p>
        </w:tc>
        <w:tc>
          <w:tcPr>
            <w:tcW w:w="1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F0D197" w14:textId="69790850" w:rsidR="00D86D7F" w:rsidRPr="00D86D7F" w:rsidRDefault="00D86D7F" w:rsidP="004F28A5">
            <w:pPr>
              <w:pStyle w:val="NormalIndent"/>
              <w:spacing w:before="120" w:after="120"/>
              <w:ind w:left="0" w:firstLine="0"/>
              <w:jc w:val="center"/>
              <w:rPr>
                <w:rFonts w:cs="Arial"/>
                <w:b/>
                <w:szCs w:val="22"/>
                <w:lang w:eastAsia="en-GB"/>
              </w:rPr>
            </w:pPr>
            <w:r w:rsidRPr="00D86D7F">
              <w:rPr>
                <w:rFonts w:cs="Arial"/>
                <w:b/>
                <w:szCs w:val="22"/>
                <w:lang w:eastAsia="en-GB"/>
              </w:rPr>
              <w:t>£280,058</w:t>
            </w:r>
          </w:p>
        </w:tc>
        <w:tc>
          <w:tcPr>
            <w:tcW w:w="23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559E8" w14:textId="77777777" w:rsidR="00D86D7F" w:rsidRPr="00205BDF" w:rsidRDefault="00D86D7F" w:rsidP="004F28A5">
            <w:pPr>
              <w:pStyle w:val="NormalIndent"/>
              <w:spacing w:before="120" w:after="120"/>
              <w:ind w:left="0" w:firstLine="0"/>
              <w:jc w:val="center"/>
              <w:rPr>
                <w:color w:val="FF0000"/>
              </w:rPr>
            </w:pPr>
          </w:p>
        </w:tc>
      </w:tr>
    </w:tbl>
    <w:p w14:paraId="25A1BC35" w14:textId="77777777" w:rsidR="00007E5E" w:rsidRPr="00205BDF" w:rsidRDefault="00007E5E" w:rsidP="006A7A1D">
      <w:pPr>
        <w:spacing w:line="360" w:lineRule="auto"/>
        <w:jc w:val="both"/>
        <w:rPr>
          <w:color w:val="FF0000"/>
        </w:rPr>
      </w:pPr>
    </w:p>
    <w:p w14:paraId="62CCCF35" w14:textId="1D4177C7" w:rsidR="004D7966" w:rsidRPr="00185BD2" w:rsidRDefault="00732540" w:rsidP="006A7A1D">
      <w:pPr>
        <w:spacing w:line="360" w:lineRule="auto"/>
        <w:jc w:val="both"/>
      </w:pPr>
      <w:r w:rsidRPr="00A60B01">
        <w:lastRenderedPageBreak/>
        <w:t>As well as the collection and expenditure of capital contributions</w:t>
      </w:r>
      <w:r w:rsidR="00891289" w:rsidRPr="00A60B01">
        <w:t>,</w:t>
      </w:r>
      <w:r w:rsidRPr="00A60B01">
        <w:t xml:space="preserve"> it is not uncommon for Section 106 Agreements to require the payment of revenue contributions towards </w:t>
      </w:r>
      <w:r w:rsidR="00891289" w:rsidRPr="00A60B01">
        <w:t xml:space="preserve">the ongoing </w:t>
      </w:r>
      <w:r w:rsidRPr="00A60B01">
        <w:t xml:space="preserve">maintenance of </w:t>
      </w:r>
      <w:r w:rsidR="00891289" w:rsidRPr="00A60B01">
        <w:t>infrastructure which is provided. These</w:t>
      </w:r>
      <w:r w:rsidR="00F300F4" w:rsidRPr="00A60B01">
        <w:t xml:space="preserve"> </w:t>
      </w:r>
      <w:r w:rsidR="00891289" w:rsidRPr="00A60B01">
        <w:t xml:space="preserve">payments are typically agreed for a period of 10 years. </w:t>
      </w:r>
      <w:r w:rsidRPr="00A60B01">
        <w:t xml:space="preserve">The majority of revenue contributions which are collected by Gedling Borough Council </w:t>
      </w:r>
      <w:r w:rsidR="00891289" w:rsidRPr="00A60B01">
        <w:t>relate</w:t>
      </w:r>
      <w:r w:rsidRPr="00A60B01">
        <w:t xml:space="preserve"> primarily </w:t>
      </w:r>
      <w:r w:rsidR="00891289" w:rsidRPr="00A60B01">
        <w:t>to</w:t>
      </w:r>
      <w:r w:rsidRPr="00A60B01">
        <w:t xml:space="preserve"> ongoing maintenance works on Open Spaces sites that the Council have adopted. Table </w:t>
      </w:r>
      <w:r w:rsidR="003E47AA" w:rsidRPr="00A60B01">
        <w:t>1</w:t>
      </w:r>
      <w:r w:rsidR="001163AB" w:rsidRPr="00A60B01">
        <w:t>3</w:t>
      </w:r>
      <w:r w:rsidRPr="00A60B01">
        <w:t xml:space="preserve"> below sets out revenue contributions</w:t>
      </w:r>
      <w:r w:rsidR="00553705" w:rsidRPr="00A60B01">
        <w:t xml:space="preserve"> which have been collected by the Local Authority</w:t>
      </w:r>
      <w:r w:rsidR="002A7E60">
        <w:t xml:space="preserve"> toward maintenance of projects</w:t>
      </w:r>
      <w:r w:rsidRPr="00A60B01">
        <w:t>.</w:t>
      </w:r>
    </w:p>
    <w:tbl>
      <w:tblPr>
        <w:tblW w:w="8914" w:type="dxa"/>
        <w:tblInd w:w="98" w:type="dxa"/>
        <w:tblCellMar>
          <w:left w:w="0" w:type="dxa"/>
          <w:right w:w="0" w:type="dxa"/>
        </w:tblCellMar>
        <w:tblLook w:val="04A0" w:firstRow="1" w:lastRow="0" w:firstColumn="1" w:lastColumn="0" w:noHBand="0" w:noVBand="1"/>
      </w:tblPr>
      <w:tblGrid>
        <w:gridCol w:w="1417"/>
        <w:gridCol w:w="1361"/>
        <w:gridCol w:w="2705"/>
        <w:gridCol w:w="1418"/>
        <w:gridCol w:w="2013"/>
      </w:tblGrid>
      <w:tr w:rsidR="00205BDF" w:rsidRPr="00205BDF" w14:paraId="6014DBD2" w14:textId="77777777" w:rsidTr="001163AB">
        <w:trPr>
          <w:trHeight w:val="615"/>
        </w:trPr>
        <w:tc>
          <w:tcPr>
            <w:tcW w:w="8914" w:type="dxa"/>
            <w:gridSpan w:val="5"/>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vAlign w:val="center"/>
            <w:hideMark/>
          </w:tcPr>
          <w:p w14:paraId="403583FA" w14:textId="739CCB1B" w:rsidR="001163AB" w:rsidRPr="00205BDF" w:rsidRDefault="001163AB" w:rsidP="001163AB">
            <w:pPr>
              <w:rPr>
                <w:rFonts w:cs="Arial"/>
                <w:b/>
                <w:bCs/>
                <w:color w:val="FF0000"/>
                <w:lang w:eastAsia="en-GB"/>
              </w:rPr>
            </w:pPr>
            <w:r w:rsidRPr="00A60B01">
              <w:rPr>
                <w:rFonts w:cs="Arial"/>
                <w:b/>
                <w:bCs/>
                <w:lang w:eastAsia="en-GB"/>
              </w:rPr>
              <w:t xml:space="preserve">Table 13. Revenue Contributions </w:t>
            </w:r>
            <w:r w:rsidR="004A1080" w:rsidRPr="00A60B01">
              <w:rPr>
                <w:b/>
                <w:bCs/>
              </w:rPr>
              <w:t>(to the nearest £)</w:t>
            </w:r>
          </w:p>
        </w:tc>
      </w:tr>
      <w:tr w:rsidR="00205BDF" w:rsidRPr="00205BDF" w14:paraId="1A155F59" w14:textId="77777777" w:rsidTr="00185BD2">
        <w:trPr>
          <w:trHeight w:val="615"/>
        </w:trPr>
        <w:tc>
          <w:tcPr>
            <w:tcW w:w="1417" w:type="dxa"/>
            <w:tcBorders>
              <w:top w:val="nil"/>
              <w:left w:val="single" w:sz="8" w:space="0" w:color="auto"/>
              <w:bottom w:val="single" w:sz="4" w:space="0" w:color="auto"/>
              <w:right w:val="single" w:sz="8" w:space="0" w:color="auto"/>
            </w:tcBorders>
            <w:shd w:val="clear" w:color="auto" w:fill="D9D9D9"/>
            <w:tcMar>
              <w:top w:w="0" w:type="dxa"/>
              <w:left w:w="108" w:type="dxa"/>
              <w:bottom w:w="0" w:type="dxa"/>
              <w:right w:w="108" w:type="dxa"/>
            </w:tcMar>
            <w:vAlign w:val="center"/>
            <w:hideMark/>
          </w:tcPr>
          <w:p w14:paraId="1B41E481" w14:textId="77777777" w:rsidR="001163AB" w:rsidRPr="00185BD2" w:rsidRDefault="001163AB" w:rsidP="001163AB">
            <w:pPr>
              <w:jc w:val="center"/>
              <w:rPr>
                <w:rFonts w:cs="Arial"/>
                <w:lang w:eastAsia="en-GB"/>
              </w:rPr>
            </w:pPr>
            <w:r w:rsidRPr="00185BD2">
              <w:rPr>
                <w:rFonts w:cs="Arial"/>
                <w:b/>
                <w:bCs/>
                <w:lang w:eastAsia="en-GB"/>
              </w:rPr>
              <w:t>Site</w:t>
            </w:r>
          </w:p>
        </w:tc>
        <w:tc>
          <w:tcPr>
            <w:tcW w:w="1361" w:type="dxa"/>
            <w:tcBorders>
              <w:top w:val="nil"/>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49E7DAD7" w14:textId="4294A2A9" w:rsidR="001163AB" w:rsidRPr="00185BD2" w:rsidRDefault="001163AB" w:rsidP="001163AB">
            <w:pPr>
              <w:jc w:val="center"/>
              <w:rPr>
                <w:rFonts w:cs="Arial"/>
                <w:lang w:eastAsia="en-GB"/>
              </w:rPr>
            </w:pPr>
            <w:r w:rsidRPr="00185BD2">
              <w:rPr>
                <w:rFonts w:cs="Arial"/>
                <w:b/>
                <w:bCs/>
                <w:lang w:eastAsia="en-GB"/>
              </w:rPr>
              <w:t xml:space="preserve">Date </w:t>
            </w:r>
            <w:r w:rsidRPr="00185BD2">
              <w:rPr>
                <w:rFonts w:cs="Arial"/>
                <w:b/>
                <w:bCs/>
              </w:rPr>
              <w:t>Received</w:t>
            </w:r>
          </w:p>
        </w:tc>
        <w:tc>
          <w:tcPr>
            <w:tcW w:w="2705" w:type="dxa"/>
            <w:tcBorders>
              <w:top w:val="nil"/>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5EC349DD" w14:textId="17CC698C" w:rsidR="001163AB" w:rsidRPr="00185BD2" w:rsidRDefault="001163AB" w:rsidP="001163AB">
            <w:pPr>
              <w:jc w:val="center"/>
              <w:rPr>
                <w:rFonts w:cs="Arial"/>
                <w:lang w:eastAsia="en-GB"/>
              </w:rPr>
            </w:pPr>
            <w:r w:rsidRPr="00185BD2">
              <w:rPr>
                <w:rFonts w:cs="Arial"/>
                <w:b/>
                <w:bCs/>
                <w:lang w:eastAsia="en-GB"/>
              </w:rPr>
              <w:t xml:space="preserve">Balance </w:t>
            </w:r>
            <w:r w:rsidR="00185BD2">
              <w:rPr>
                <w:rFonts w:cs="Arial"/>
                <w:b/>
                <w:bCs/>
                <w:lang w:eastAsia="en-GB"/>
              </w:rPr>
              <w:t>as of</w:t>
            </w:r>
            <w:r w:rsidRPr="00185BD2">
              <w:rPr>
                <w:rFonts w:cs="Arial"/>
                <w:b/>
                <w:bCs/>
                <w:lang w:eastAsia="en-GB"/>
              </w:rPr>
              <w:t xml:space="preserve"> 1</w:t>
            </w:r>
            <w:r w:rsidRPr="00185BD2">
              <w:rPr>
                <w:rFonts w:cs="Arial"/>
                <w:b/>
                <w:bCs/>
                <w:vertAlign w:val="superscript"/>
                <w:lang w:eastAsia="en-GB"/>
              </w:rPr>
              <w:t>st</w:t>
            </w:r>
            <w:r w:rsidRPr="00185BD2">
              <w:rPr>
                <w:rFonts w:cs="Arial"/>
                <w:b/>
                <w:bCs/>
                <w:lang w:eastAsia="en-GB"/>
              </w:rPr>
              <w:t xml:space="preserve"> April 202</w:t>
            </w:r>
            <w:r w:rsidR="00185BD2" w:rsidRPr="00185BD2">
              <w:rPr>
                <w:rFonts w:cs="Arial"/>
                <w:b/>
                <w:bCs/>
                <w:lang w:eastAsia="en-GB"/>
              </w:rPr>
              <w:t>2</w:t>
            </w:r>
          </w:p>
        </w:tc>
        <w:tc>
          <w:tcPr>
            <w:tcW w:w="1418" w:type="dxa"/>
            <w:tcBorders>
              <w:top w:val="nil"/>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04F58260" w14:textId="07A8C716" w:rsidR="001163AB" w:rsidRPr="00185BD2" w:rsidRDefault="001163AB" w:rsidP="001163AB">
            <w:pPr>
              <w:jc w:val="center"/>
              <w:rPr>
                <w:rFonts w:cs="Arial"/>
                <w:lang w:eastAsia="en-GB"/>
              </w:rPr>
            </w:pPr>
            <w:r w:rsidRPr="00185BD2">
              <w:rPr>
                <w:rFonts w:cs="Arial"/>
                <w:b/>
                <w:bCs/>
                <w:lang w:eastAsia="en-GB"/>
              </w:rPr>
              <w:t>Annual Payment 202</w:t>
            </w:r>
            <w:r w:rsidR="00185BD2" w:rsidRPr="00185BD2">
              <w:rPr>
                <w:rFonts w:cs="Arial"/>
                <w:b/>
                <w:bCs/>
                <w:lang w:eastAsia="en-GB"/>
              </w:rPr>
              <w:t>2</w:t>
            </w:r>
            <w:r w:rsidRPr="00185BD2">
              <w:rPr>
                <w:rFonts w:cs="Arial"/>
                <w:b/>
                <w:bCs/>
                <w:lang w:eastAsia="en-GB"/>
              </w:rPr>
              <w:t>/2</w:t>
            </w:r>
            <w:r w:rsidR="00185BD2" w:rsidRPr="00185BD2">
              <w:rPr>
                <w:rFonts w:cs="Arial"/>
                <w:b/>
                <w:bCs/>
                <w:lang w:eastAsia="en-GB"/>
              </w:rPr>
              <w:t>3</w:t>
            </w:r>
          </w:p>
        </w:tc>
        <w:tc>
          <w:tcPr>
            <w:tcW w:w="2013" w:type="dxa"/>
            <w:tcBorders>
              <w:top w:val="nil"/>
              <w:left w:val="nil"/>
              <w:bottom w:val="single" w:sz="4" w:space="0" w:color="auto"/>
              <w:right w:val="single" w:sz="8" w:space="0" w:color="auto"/>
            </w:tcBorders>
            <w:shd w:val="clear" w:color="auto" w:fill="D9D9D9"/>
            <w:tcMar>
              <w:top w:w="0" w:type="dxa"/>
              <w:left w:w="108" w:type="dxa"/>
              <w:bottom w:w="0" w:type="dxa"/>
              <w:right w:w="108" w:type="dxa"/>
            </w:tcMar>
            <w:vAlign w:val="center"/>
            <w:hideMark/>
          </w:tcPr>
          <w:p w14:paraId="59973D3E" w14:textId="438F42BF" w:rsidR="001163AB" w:rsidRPr="00185BD2" w:rsidRDefault="001163AB" w:rsidP="001163AB">
            <w:pPr>
              <w:jc w:val="center"/>
              <w:rPr>
                <w:rFonts w:cs="Arial"/>
                <w:lang w:eastAsia="en-GB"/>
              </w:rPr>
            </w:pPr>
            <w:r w:rsidRPr="00185BD2">
              <w:rPr>
                <w:rFonts w:cs="Arial"/>
                <w:b/>
                <w:bCs/>
                <w:lang w:eastAsia="en-GB"/>
              </w:rPr>
              <w:t xml:space="preserve">Remaining Balance </w:t>
            </w:r>
            <w:r w:rsidR="00185BD2">
              <w:rPr>
                <w:rFonts w:cs="Arial"/>
                <w:b/>
                <w:bCs/>
                <w:lang w:eastAsia="en-GB"/>
              </w:rPr>
              <w:t>as of 3</w:t>
            </w:r>
            <w:r w:rsidRPr="00185BD2">
              <w:rPr>
                <w:rFonts w:cs="Arial"/>
                <w:b/>
                <w:bCs/>
                <w:lang w:eastAsia="en-GB"/>
              </w:rPr>
              <w:t>1</w:t>
            </w:r>
            <w:r w:rsidRPr="00185BD2">
              <w:rPr>
                <w:rFonts w:cs="Arial"/>
                <w:b/>
                <w:bCs/>
                <w:vertAlign w:val="superscript"/>
                <w:lang w:eastAsia="en-GB"/>
              </w:rPr>
              <w:t>st</w:t>
            </w:r>
            <w:r w:rsidRPr="00185BD2">
              <w:rPr>
                <w:rFonts w:cs="Arial"/>
                <w:b/>
                <w:bCs/>
                <w:lang w:eastAsia="en-GB"/>
              </w:rPr>
              <w:t xml:space="preserve"> March 202</w:t>
            </w:r>
            <w:r w:rsidR="00185BD2" w:rsidRPr="00185BD2">
              <w:rPr>
                <w:rFonts w:cs="Arial"/>
                <w:b/>
                <w:bCs/>
                <w:lang w:eastAsia="en-GB"/>
              </w:rPr>
              <w:t>3</w:t>
            </w:r>
          </w:p>
        </w:tc>
      </w:tr>
      <w:tr w:rsidR="00185BD2" w:rsidRPr="00185BD2" w14:paraId="20B5A3E6" w14:textId="77777777" w:rsidTr="00185BD2">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027BA7" w14:textId="77777777" w:rsidR="00185BD2" w:rsidRPr="00185BD2" w:rsidRDefault="00185BD2" w:rsidP="00185BD2">
            <w:pPr>
              <w:jc w:val="center"/>
              <w:rPr>
                <w:rFonts w:cs="Arial"/>
                <w:lang w:eastAsia="en-GB"/>
              </w:rPr>
            </w:pPr>
            <w:r w:rsidRPr="00185BD2">
              <w:rPr>
                <w:rFonts w:cs="Arial"/>
                <w:lang w:eastAsia="en-GB"/>
              </w:rPr>
              <w:t>Spring Lane</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4E6FA9" w14:textId="77777777" w:rsidR="00185BD2" w:rsidRPr="00185BD2" w:rsidRDefault="00185BD2" w:rsidP="00185BD2">
            <w:pPr>
              <w:jc w:val="center"/>
              <w:rPr>
                <w:rFonts w:cs="Arial"/>
                <w:lang w:eastAsia="en-GB"/>
              </w:rPr>
            </w:pPr>
            <w:r w:rsidRPr="00185BD2">
              <w:rPr>
                <w:rFonts w:cs="Arial"/>
                <w:lang w:eastAsia="en-GB"/>
              </w:rPr>
              <w:t>2006</w:t>
            </w:r>
          </w:p>
        </w:tc>
        <w:tc>
          <w:tcPr>
            <w:tcW w:w="27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A1E96DD" w14:textId="77777777" w:rsidR="00185BD2" w:rsidRPr="00185BD2" w:rsidRDefault="00185BD2" w:rsidP="00185BD2">
            <w:pPr>
              <w:jc w:val="center"/>
              <w:rPr>
                <w:rFonts w:cs="Arial"/>
                <w:lang w:eastAsia="en-GB"/>
              </w:rPr>
            </w:pPr>
            <w:r w:rsidRPr="00185BD2">
              <w:rPr>
                <w:rFonts w:cs="Arial"/>
                <w:lang w:eastAsia="en-GB"/>
              </w:rPr>
              <w:t>£1,707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8E687D" w14:textId="77777777" w:rsidR="00185BD2" w:rsidRPr="00185BD2" w:rsidRDefault="00185BD2" w:rsidP="00185BD2">
            <w:pPr>
              <w:jc w:val="center"/>
              <w:rPr>
                <w:rFonts w:cs="Arial"/>
                <w:lang w:eastAsia="en-GB"/>
              </w:rPr>
            </w:pPr>
            <w:r w:rsidRPr="00185BD2">
              <w:rPr>
                <w:rFonts w:cs="Arial"/>
                <w:lang w:eastAsia="en-GB"/>
              </w:rPr>
              <w:t>£569</w:t>
            </w:r>
          </w:p>
        </w:tc>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4B52D5" w14:textId="77777777" w:rsidR="00185BD2" w:rsidRPr="00185BD2" w:rsidRDefault="00185BD2" w:rsidP="00185BD2">
            <w:pPr>
              <w:jc w:val="center"/>
              <w:rPr>
                <w:rFonts w:cs="Arial"/>
                <w:lang w:eastAsia="en-GB"/>
              </w:rPr>
            </w:pPr>
            <w:r w:rsidRPr="00185BD2">
              <w:rPr>
                <w:rFonts w:cs="Arial"/>
                <w:lang w:eastAsia="en-GB"/>
              </w:rPr>
              <w:t>£1,138</w:t>
            </w:r>
          </w:p>
        </w:tc>
      </w:tr>
      <w:tr w:rsidR="00185BD2" w:rsidRPr="00185BD2" w14:paraId="6B675265" w14:textId="77777777" w:rsidTr="00185BD2">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735D8565" w14:textId="77777777" w:rsidR="00185BD2" w:rsidRPr="00185BD2" w:rsidRDefault="00185BD2" w:rsidP="00185BD2">
            <w:pPr>
              <w:jc w:val="center"/>
              <w:rPr>
                <w:rFonts w:cs="Arial"/>
                <w:lang w:eastAsia="en-GB"/>
              </w:rPr>
            </w:pPr>
            <w:r w:rsidRPr="00185BD2">
              <w:rPr>
                <w:rFonts w:cs="Arial"/>
                <w:lang w:eastAsia="en-GB"/>
              </w:rPr>
              <w:t>Park Road, Bestwood</w:t>
            </w:r>
          </w:p>
        </w:tc>
        <w:tc>
          <w:tcPr>
            <w:tcW w:w="1361"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65D36189" w14:textId="77777777" w:rsidR="00185BD2" w:rsidRPr="00185BD2" w:rsidRDefault="00185BD2" w:rsidP="00185BD2">
            <w:pPr>
              <w:jc w:val="center"/>
              <w:rPr>
                <w:rFonts w:cs="Arial"/>
                <w:lang w:eastAsia="en-GB"/>
              </w:rPr>
            </w:pPr>
            <w:r w:rsidRPr="00185BD2">
              <w:rPr>
                <w:rFonts w:cs="Arial"/>
                <w:lang w:eastAsia="en-GB"/>
              </w:rPr>
              <w:t>2006</w:t>
            </w:r>
          </w:p>
        </w:tc>
        <w:tc>
          <w:tcPr>
            <w:tcW w:w="2705"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7951A9B2" w14:textId="77777777" w:rsidR="00185BD2" w:rsidRPr="00185BD2" w:rsidRDefault="00185BD2" w:rsidP="00185BD2">
            <w:pPr>
              <w:jc w:val="center"/>
              <w:rPr>
                <w:rFonts w:cs="Arial"/>
                <w:lang w:eastAsia="en-GB"/>
              </w:rPr>
            </w:pPr>
            <w:r w:rsidRPr="00185BD2">
              <w:rPr>
                <w:rFonts w:cs="Arial"/>
                <w:lang w:eastAsia="en-GB"/>
              </w:rPr>
              <w:t>£17,880</w:t>
            </w:r>
          </w:p>
        </w:tc>
        <w:tc>
          <w:tcPr>
            <w:tcW w:w="1418"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4CE80534" w14:textId="77777777" w:rsidR="00185BD2" w:rsidRPr="00185BD2" w:rsidRDefault="00185BD2" w:rsidP="00185BD2">
            <w:pPr>
              <w:jc w:val="center"/>
              <w:rPr>
                <w:rFonts w:cs="Arial"/>
                <w:lang w:eastAsia="en-GB"/>
              </w:rPr>
            </w:pPr>
            <w:r w:rsidRPr="00185BD2">
              <w:rPr>
                <w:rFonts w:cs="Arial"/>
                <w:lang w:eastAsia="en-GB"/>
              </w:rPr>
              <w:t>£0</w:t>
            </w:r>
          </w:p>
        </w:tc>
        <w:tc>
          <w:tcPr>
            <w:tcW w:w="2013"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7C1C7953" w14:textId="77777777" w:rsidR="00185BD2" w:rsidRPr="00185BD2" w:rsidRDefault="00185BD2" w:rsidP="00185BD2">
            <w:pPr>
              <w:jc w:val="center"/>
              <w:rPr>
                <w:rFonts w:cs="Arial"/>
                <w:lang w:eastAsia="en-GB"/>
              </w:rPr>
            </w:pPr>
            <w:r w:rsidRPr="00185BD2">
              <w:rPr>
                <w:rFonts w:cs="Arial"/>
                <w:lang w:eastAsia="en-GB"/>
              </w:rPr>
              <w:t>£17,880</w:t>
            </w:r>
          </w:p>
        </w:tc>
      </w:tr>
      <w:tr w:rsidR="00185BD2" w:rsidRPr="00185BD2" w14:paraId="4EC4A470" w14:textId="77777777" w:rsidTr="00185BD2">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D0E699" w14:textId="77777777" w:rsidR="00185BD2" w:rsidRPr="00185BD2" w:rsidRDefault="00185BD2" w:rsidP="00185BD2">
            <w:pPr>
              <w:jc w:val="center"/>
              <w:rPr>
                <w:rFonts w:cs="Arial"/>
                <w:lang w:eastAsia="en-GB"/>
              </w:rPr>
            </w:pPr>
            <w:r w:rsidRPr="00185BD2">
              <w:rPr>
                <w:rFonts w:cs="Arial"/>
                <w:lang w:eastAsia="en-GB"/>
              </w:rPr>
              <w:t>Downham Close, Arnold</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2B69CD" w14:textId="77777777" w:rsidR="00185BD2" w:rsidRPr="00185BD2" w:rsidRDefault="00185BD2" w:rsidP="00185BD2">
            <w:pPr>
              <w:jc w:val="center"/>
              <w:rPr>
                <w:rFonts w:cs="Arial"/>
                <w:lang w:eastAsia="en-GB"/>
              </w:rPr>
            </w:pPr>
            <w:r w:rsidRPr="00185BD2">
              <w:rPr>
                <w:rFonts w:cs="Arial"/>
                <w:lang w:eastAsia="en-GB"/>
              </w:rPr>
              <w:t>2008</w:t>
            </w:r>
          </w:p>
        </w:tc>
        <w:tc>
          <w:tcPr>
            <w:tcW w:w="27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86BECF" w14:textId="77777777" w:rsidR="00185BD2" w:rsidRPr="00185BD2" w:rsidRDefault="00185BD2" w:rsidP="00185BD2">
            <w:pPr>
              <w:jc w:val="center"/>
              <w:rPr>
                <w:rFonts w:cs="Arial"/>
                <w:lang w:eastAsia="en-GB"/>
              </w:rPr>
            </w:pPr>
            <w:r w:rsidRPr="00185BD2">
              <w:rPr>
                <w:rFonts w:cs="Arial"/>
                <w:lang w:eastAsia="en-GB"/>
              </w:rPr>
              <w:t>£2,476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52BCCE" w14:textId="77777777" w:rsidR="00185BD2" w:rsidRPr="00185BD2" w:rsidRDefault="00185BD2" w:rsidP="00185BD2">
            <w:pPr>
              <w:jc w:val="center"/>
              <w:rPr>
                <w:rFonts w:cs="Arial"/>
                <w:lang w:eastAsia="en-GB"/>
              </w:rPr>
            </w:pPr>
            <w:r w:rsidRPr="00185BD2">
              <w:rPr>
                <w:rFonts w:cs="Arial"/>
                <w:lang w:eastAsia="en-GB"/>
              </w:rPr>
              <w:t>£825</w:t>
            </w:r>
          </w:p>
        </w:tc>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21E7C1" w14:textId="77777777" w:rsidR="00185BD2" w:rsidRPr="00185BD2" w:rsidRDefault="00185BD2" w:rsidP="00185BD2">
            <w:pPr>
              <w:jc w:val="center"/>
              <w:rPr>
                <w:rFonts w:cs="Arial"/>
                <w:lang w:eastAsia="en-GB"/>
              </w:rPr>
            </w:pPr>
            <w:r w:rsidRPr="00185BD2">
              <w:rPr>
                <w:rFonts w:cs="Arial"/>
                <w:lang w:eastAsia="en-GB"/>
              </w:rPr>
              <w:t>£1,651</w:t>
            </w:r>
          </w:p>
        </w:tc>
      </w:tr>
      <w:tr w:rsidR="00185BD2" w:rsidRPr="00185BD2" w14:paraId="41093648" w14:textId="77777777" w:rsidTr="00185BD2">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68E547E8" w14:textId="77777777" w:rsidR="00185BD2" w:rsidRPr="00185BD2" w:rsidRDefault="00185BD2" w:rsidP="00185BD2">
            <w:pPr>
              <w:jc w:val="center"/>
              <w:rPr>
                <w:rFonts w:cs="Arial"/>
                <w:lang w:eastAsia="en-GB"/>
              </w:rPr>
            </w:pPr>
            <w:r w:rsidRPr="00185BD2">
              <w:rPr>
                <w:rFonts w:cs="Arial"/>
                <w:lang w:eastAsia="en-GB"/>
              </w:rPr>
              <w:t>Arnold View Primary School</w:t>
            </w:r>
          </w:p>
        </w:tc>
        <w:tc>
          <w:tcPr>
            <w:tcW w:w="1361"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3F048CB6" w14:textId="77777777" w:rsidR="00185BD2" w:rsidRPr="00185BD2" w:rsidRDefault="00185BD2" w:rsidP="00185BD2">
            <w:pPr>
              <w:jc w:val="center"/>
              <w:rPr>
                <w:rFonts w:cs="Arial"/>
                <w:lang w:eastAsia="en-GB"/>
              </w:rPr>
            </w:pPr>
            <w:r w:rsidRPr="00185BD2">
              <w:rPr>
                <w:rFonts w:cs="Arial"/>
                <w:lang w:eastAsia="en-GB"/>
              </w:rPr>
              <w:t>2009</w:t>
            </w:r>
          </w:p>
        </w:tc>
        <w:tc>
          <w:tcPr>
            <w:tcW w:w="2705"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2C96FE81" w14:textId="77777777" w:rsidR="00185BD2" w:rsidRPr="00185BD2" w:rsidRDefault="00185BD2" w:rsidP="00185BD2">
            <w:pPr>
              <w:jc w:val="center"/>
              <w:rPr>
                <w:rFonts w:cs="Arial"/>
                <w:lang w:eastAsia="en-GB"/>
              </w:rPr>
            </w:pPr>
            <w:r w:rsidRPr="00185BD2">
              <w:rPr>
                <w:rFonts w:cs="Arial"/>
                <w:lang w:eastAsia="en-GB"/>
              </w:rPr>
              <w:t>£9,898</w:t>
            </w:r>
          </w:p>
        </w:tc>
        <w:tc>
          <w:tcPr>
            <w:tcW w:w="1418"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37AE7348" w14:textId="77777777" w:rsidR="00185BD2" w:rsidRPr="00185BD2" w:rsidRDefault="00185BD2" w:rsidP="00185BD2">
            <w:pPr>
              <w:jc w:val="center"/>
              <w:rPr>
                <w:rFonts w:cs="Arial"/>
                <w:lang w:eastAsia="en-GB"/>
              </w:rPr>
            </w:pPr>
            <w:r w:rsidRPr="00185BD2">
              <w:rPr>
                <w:rFonts w:cs="Arial"/>
                <w:lang w:eastAsia="en-GB"/>
              </w:rPr>
              <w:t>£2,474</w:t>
            </w:r>
          </w:p>
        </w:tc>
        <w:tc>
          <w:tcPr>
            <w:tcW w:w="2013"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3A895185" w14:textId="77777777" w:rsidR="00185BD2" w:rsidRPr="00185BD2" w:rsidRDefault="00185BD2" w:rsidP="00185BD2">
            <w:pPr>
              <w:jc w:val="center"/>
              <w:rPr>
                <w:rFonts w:cs="Arial"/>
                <w:lang w:eastAsia="en-GB"/>
              </w:rPr>
            </w:pPr>
            <w:r w:rsidRPr="00185BD2">
              <w:rPr>
                <w:rFonts w:cs="Arial"/>
                <w:lang w:eastAsia="en-GB"/>
              </w:rPr>
              <w:t>£7,424</w:t>
            </w:r>
          </w:p>
        </w:tc>
      </w:tr>
      <w:tr w:rsidR="00185BD2" w:rsidRPr="00185BD2" w14:paraId="34E8FB78" w14:textId="77777777" w:rsidTr="00185BD2">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742F44" w14:textId="77777777" w:rsidR="00185BD2" w:rsidRPr="00185BD2" w:rsidRDefault="00185BD2" w:rsidP="00185BD2">
            <w:pPr>
              <w:jc w:val="center"/>
              <w:rPr>
                <w:rFonts w:cs="Arial"/>
                <w:lang w:eastAsia="en-GB"/>
              </w:rPr>
            </w:pPr>
            <w:r w:rsidRPr="00185BD2">
              <w:rPr>
                <w:rFonts w:cs="Arial"/>
                <w:lang w:eastAsia="en-GB"/>
              </w:rPr>
              <w:t>Burton Road, Gedling</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94605A5" w14:textId="77777777" w:rsidR="00185BD2" w:rsidRPr="00185BD2" w:rsidRDefault="00185BD2" w:rsidP="00185BD2">
            <w:pPr>
              <w:jc w:val="center"/>
              <w:rPr>
                <w:rFonts w:cs="Arial"/>
                <w:lang w:eastAsia="en-GB"/>
              </w:rPr>
            </w:pPr>
            <w:r w:rsidRPr="00185BD2">
              <w:rPr>
                <w:rFonts w:cs="Arial"/>
                <w:lang w:eastAsia="en-GB"/>
              </w:rPr>
              <w:t>2009</w:t>
            </w:r>
          </w:p>
        </w:tc>
        <w:tc>
          <w:tcPr>
            <w:tcW w:w="27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53386D" w14:textId="77777777" w:rsidR="00185BD2" w:rsidRPr="00185BD2" w:rsidRDefault="00185BD2" w:rsidP="00185BD2">
            <w:pPr>
              <w:jc w:val="center"/>
              <w:rPr>
                <w:rFonts w:cs="Arial"/>
                <w:lang w:eastAsia="en-GB"/>
              </w:rPr>
            </w:pPr>
            <w:r w:rsidRPr="00185BD2">
              <w:rPr>
                <w:rFonts w:cs="Arial"/>
                <w:lang w:eastAsia="en-GB"/>
              </w:rPr>
              <w:t>£2,292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9A86AE4" w14:textId="77777777" w:rsidR="00185BD2" w:rsidRPr="00185BD2" w:rsidRDefault="00185BD2" w:rsidP="00185BD2">
            <w:pPr>
              <w:jc w:val="center"/>
              <w:rPr>
                <w:rFonts w:cs="Arial"/>
                <w:lang w:eastAsia="en-GB"/>
              </w:rPr>
            </w:pPr>
            <w:r w:rsidRPr="00185BD2">
              <w:rPr>
                <w:rFonts w:cs="Arial"/>
                <w:lang w:eastAsia="en-GB"/>
              </w:rPr>
              <w:t>£763</w:t>
            </w:r>
          </w:p>
        </w:tc>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D1976A2" w14:textId="77777777" w:rsidR="00185BD2" w:rsidRPr="00185BD2" w:rsidRDefault="00185BD2" w:rsidP="00185BD2">
            <w:pPr>
              <w:jc w:val="center"/>
              <w:rPr>
                <w:rFonts w:cs="Arial"/>
                <w:lang w:eastAsia="en-GB"/>
              </w:rPr>
            </w:pPr>
            <w:r w:rsidRPr="00185BD2">
              <w:rPr>
                <w:rFonts w:cs="Arial"/>
                <w:lang w:eastAsia="en-GB"/>
              </w:rPr>
              <w:t>£1,529</w:t>
            </w:r>
          </w:p>
        </w:tc>
      </w:tr>
      <w:tr w:rsidR="00185BD2" w:rsidRPr="00185BD2" w14:paraId="56FC70E3" w14:textId="77777777" w:rsidTr="00185BD2">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69040388" w14:textId="77777777" w:rsidR="00185BD2" w:rsidRPr="00185BD2" w:rsidRDefault="00185BD2" w:rsidP="00185BD2">
            <w:pPr>
              <w:jc w:val="center"/>
              <w:rPr>
                <w:rFonts w:cs="Arial"/>
                <w:lang w:eastAsia="en-GB"/>
              </w:rPr>
            </w:pPr>
            <w:r w:rsidRPr="00185BD2">
              <w:rPr>
                <w:rFonts w:cs="Arial"/>
                <w:lang w:eastAsia="en-GB"/>
              </w:rPr>
              <w:t>188-194 Mapperley Plains</w:t>
            </w:r>
          </w:p>
        </w:tc>
        <w:tc>
          <w:tcPr>
            <w:tcW w:w="1361"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5A08698C" w14:textId="77777777" w:rsidR="00185BD2" w:rsidRPr="00185BD2" w:rsidRDefault="00185BD2" w:rsidP="00185BD2">
            <w:pPr>
              <w:jc w:val="center"/>
              <w:rPr>
                <w:rFonts w:cs="Arial"/>
                <w:lang w:eastAsia="en-GB"/>
              </w:rPr>
            </w:pPr>
            <w:r w:rsidRPr="00185BD2">
              <w:rPr>
                <w:rFonts w:cs="Arial"/>
                <w:lang w:eastAsia="en-GB"/>
              </w:rPr>
              <w:t>2016</w:t>
            </w:r>
          </w:p>
        </w:tc>
        <w:tc>
          <w:tcPr>
            <w:tcW w:w="2705"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0FC60457" w14:textId="77777777" w:rsidR="00185BD2" w:rsidRPr="00185BD2" w:rsidRDefault="00185BD2" w:rsidP="00185BD2">
            <w:pPr>
              <w:jc w:val="center"/>
              <w:rPr>
                <w:rFonts w:cs="Arial"/>
                <w:lang w:eastAsia="en-GB"/>
              </w:rPr>
            </w:pPr>
            <w:r w:rsidRPr="00185BD2">
              <w:rPr>
                <w:rFonts w:cs="Arial"/>
                <w:lang w:eastAsia="en-GB"/>
              </w:rPr>
              <w:t>£7,614</w:t>
            </w:r>
          </w:p>
        </w:tc>
        <w:tc>
          <w:tcPr>
            <w:tcW w:w="1418"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3AA14756" w14:textId="77777777" w:rsidR="00185BD2" w:rsidRPr="00185BD2" w:rsidRDefault="00185BD2" w:rsidP="00185BD2">
            <w:pPr>
              <w:jc w:val="center"/>
              <w:rPr>
                <w:rFonts w:cs="Arial"/>
                <w:lang w:eastAsia="en-GB"/>
              </w:rPr>
            </w:pPr>
            <w:r w:rsidRPr="00185BD2">
              <w:rPr>
                <w:rFonts w:cs="Arial"/>
                <w:lang w:eastAsia="en-GB"/>
              </w:rPr>
              <w:t>£1,904</w:t>
            </w:r>
          </w:p>
        </w:tc>
        <w:tc>
          <w:tcPr>
            <w:tcW w:w="2013"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583A7DE4" w14:textId="77777777" w:rsidR="00185BD2" w:rsidRPr="00185BD2" w:rsidRDefault="00185BD2" w:rsidP="00185BD2">
            <w:pPr>
              <w:jc w:val="center"/>
              <w:rPr>
                <w:rFonts w:cs="Arial"/>
                <w:lang w:eastAsia="en-GB"/>
              </w:rPr>
            </w:pPr>
            <w:r w:rsidRPr="00185BD2">
              <w:rPr>
                <w:rFonts w:cs="Arial"/>
                <w:lang w:eastAsia="en-GB"/>
              </w:rPr>
              <w:t>£5,710</w:t>
            </w:r>
          </w:p>
        </w:tc>
      </w:tr>
      <w:tr w:rsidR="00185BD2" w:rsidRPr="00185BD2" w14:paraId="2DE7F496" w14:textId="77777777" w:rsidTr="00185BD2">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D83A53C" w14:textId="77777777" w:rsidR="00185BD2" w:rsidRPr="00185BD2" w:rsidRDefault="00185BD2" w:rsidP="00185BD2">
            <w:pPr>
              <w:jc w:val="center"/>
              <w:rPr>
                <w:rFonts w:cs="Arial"/>
                <w:lang w:eastAsia="en-GB"/>
              </w:rPr>
            </w:pPr>
            <w:r w:rsidRPr="00185BD2">
              <w:rPr>
                <w:rFonts w:cs="Arial"/>
                <w:lang w:eastAsia="en-GB"/>
              </w:rPr>
              <w:t>333-339 Mapperley Plains</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66B06F" w14:textId="77777777" w:rsidR="00185BD2" w:rsidRPr="00185BD2" w:rsidRDefault="00185BD2" w:rsidP="00185BD2">
            <w:pPr>
              <w:jc w:val="center"/>
              <w:rPr>
                <w:rFonts w:cs="Arial"/>
                <w:lang w:eastAsia="en-GB"/>
              </w:rPr>
            </w:pPr>
            <w:r w:rsidRPr="00185BD2">
              <w:rPr>
                <w:rFonts w:cs="Arial"/>
                <w:lang w:eastAsia="en-GB"/>
              </w:rPr>
              <w:t>2016</w:t>
            </w:r>
          </w:p>
        </w:tc>
        <w:tc>
          <w:tcPr>
            <w:tcW w:w="27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8B70A9" w14:textId="77777777" w:rsidR="00185BD2" w:rsidRPr="00185BD2" w:rsidRDefault="00185BD2" w:rsidP="00185BD2">
            <w:pPr>
              <w:jc w:val="center"/>
              <w:rPr>
                <w:rFonts w:cs="Arial"/>
                <w:lang w:eastAsia="en-GB"/>
              </w:rPr>
            </w:pPr>
            <w:r w:rsidRPr="00185BD2">
              <w:rPr>
                <w:rFonts w:cs="Arial"/>
                <w:lang w:eastAsia="en-GB"/>
              </w:rPr>
              <w:t>£9,635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46DD12B" w14:textId="77777777" w:rsidR="00185BD2" w:rsidRPr="00185BD2" w:rsidRDefault="00185BD2" w:rsidP="00185BD2">
            <w:pPr>
              <w:jc w:val="center"/>
              <w:rPr>
                <w:rFonts w:cs="Arial"/>
                <w:lang w:eastAsia="en-GB"/>
              </w:rPr>
            </w:pPr>
            <w:r w:rsidRPr="00185BD2">
              <w:rPr>
                <w:rFonts w:cs="Arial"/>
                <w:lang w:eastAsia="en-GB"/>
              </w:rPr>
              <w:t>£2,409</w:t>
            </w:r>
          </w:p>
        </w:tc>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FE4D4A" w14:textId="77777777" w:rsidR="00185BD2" w:rsidRPr="00185BD2" w:rsidRDefault="00185BD2" w:rsidP="00185BD2">
            <w:pPr>
              <w:jc w:val="center"/>
              <w:rPr>
                <w:rFonts w:cs="Arial"/>
                <w:lang w:eastAsia="en-GB"/>
              </w:rPr>
            </w:pPr>
            <w:r w:rsidRPr="00185BD2">
              <w:rPr>
                <w:rFonts w:cs="Arial"/>
                <w:lang w:eastAsia="en-GB"/>
              </w:rPr>
              <w:t>£7,226</w:t>
            </w:r>
          </w:p>
        </w:tc>
      </w:tr>
      <w:tr w:rsidR="00185BD2" w:rsidRPr="00185BD2" w14:paraId="253D01B6" w14:textId="77777777" w:rsidTr="00185BD2">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369EFD21" w14:textId="77777777" w:rsidR="00185BD2" w:rsidRPr="00185BD2" w:rsidRDefault="00185BD2" w:rsidP="00185BD2">
            <w:pPr>
              <w:jc w:val="center"/>
              <w:rPr>
                <w:rFonts w:cs="Arial"/>
                <w:lang w:eastAsia="en-GB"/>
              </w:rPr>
            </w:pPr>
            <w:r w:rsidRPr="00185BD2">
              <w:rPr>
                <w:rFonts w:cs="Arial"/>
                <w:lang w:eastAsia="en-GB"/>
              </w:rPr>
              <w:lastRenderedPageBreak/>
              <w:t>Spring Lane</w:t>
            </w:r>
          </w:p>
        </w:tc>
        <w:tc>
          <w:tcPr>
            <w:tcW w:w="1361"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0C619E47" w14:textId="77777777" w:rsidR="00185BD2" w:rsidRPr="00185BD2" w:rsidRDefault="00185BD2" w:rsidP="00185BD2">
            <w:pPr>
              <w:jc w:val="center"/>
              <w:rPr>
                <w:rFonts w:cs="Arial"/>
                <w:lang w:eastAsia="en-GB"/>
              </w:rPr>
            </w:pPr>
            <w:r w:rsidRPr="00185BD2">
              <w:rPr>
                <w:rFonts w:cs="Arial"/>
                <w:lang w:eastAsia="en-GB"/>
              </w:rPr>
              <w:t>2017</w:t>
            </w:r>
          </w:p>
        </w:tc>
        <w:tc>
          <w:tcPr>
            <w:tcW w:w="2705"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1801C19E" w14:textId="77777777" w:rsidR="00185BD2" w:rsidRPr="00185BD2" w:rsidRDefault="00185BD2" w:rsidP="00185BD2">
            <w:pPr>
              <w:jc w:val="center"/>
              <w:rPr>
                <w:rFonts w:cs="Arial"/>
                <w:lang w:eastAsia="en-GB"/>
              </w:rPr>
            </w:pPr>
            <w:r w:rsidRPr="00185BD2">
              <w:rPr>
                <w:rFonts w:cs="Arial"/>
                <w:lang w:eastAsia="en-GB"/>
              </w:rPr>
              <w:t>£55,288</w:t>
            </w:r>
          </w:p>
        </w:tc>
        <w:tc>
          <w:tcPr>
            <w:tcW w:w="1418"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166D8A3D" w14:textId="77777777" w:rsidR="00185BD2" w:rsidRPr="00185BD2" w:rsidRDefault="00185BD2" w:rsidP="00185BD2">
            <w:pPr>
              <w:jc w:val="center"/>
              <w:rPr>
                <w:rFonts w:cs="Arial"/>
                <w:lang w:eastAsia="en-GB"/>
              </w:rPr>
            </w:pPr>
            <w:r w:rsidRPr="00185BD2">
              <w:rPr>
                <w:rFonts w:cs="Arial"/>
                <w:lang w:eastAsia="en-GB"/>
              </w:rPr>
              <w:t>£11,057</w:t>
            </w:r>
          </w:p>
        </w:tc>
        <w:tc>
          <w:tcPr>
            <w:tcW w:w="2013"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035D16B6" w14:textId="77777777" w:rsidR="00185BD2" w:rsidRPr="00185BD2" w:rsidRDefault="00185BD2" w:rsidP="00185BD2">
            <w:pPr>
              <w:jc w:val="center"/>
              <w:rPr>
                <w:rFonts w:cs="Arial"/>
                <w:lang w:eastAsia="en-GB"/>
              </w:rPr>
            </w:pPr>
            <w:r w:rsidRPr="00185BD2">
              <w:rPr>
                <w:rFonts w:cs="Arial"/>
                <w:lang w:eastAsia="en-GB"/>
              </w:rPr>
              <w:t>£44,231</w:t>
            </w:r>
          </w:p>
        </w:tc>
      </w:tr>
      <w:tr w:rsidR="00185BD2" w:rsidRPr="00185BD2" w14:paraId="702274D4" w14:textId="77777777" w:rsidTr="00185BD2">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077626F" w14:textId="77777777" w:rsidR="00185BD2" w:rsidRPr="00185BD2" w:rsidRDefault="00185BD2" w:rsidP="00185BD2">
            <w:pPr>
              <w:jc w:val="center"/>
              <w:rPr>
                <w:rFonts w:cs="Arial"/>
                <w:lang w:eastAsia="en-GB"/>
              </w:rPr>
            </w:pPr>
            <w:r w:rsidRPr="00185BD2">
              <w:rPr>
                <w:rFonts w:cs="Arial"/>
                <w:lang w:eastAsia="en-GB"/>
              </w:rPr>
              <w:t>Land at Teal Close, Netherfield</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080274" w14:textId="77777777" w:rsidR="00185BD2" w:rsidRPr="00185BD2" w:rsidRDefault="00185BD2" w:rsidP="00185BD2">
            <w:pPr>
              <w:jc w:val="center"/>
              <w:rPr>
                <w:rFonts w:cs="Arial"/>
                <w:lang w:eastAsia="en-GB"/>
              </w:rPr>
            </w:pPr>
            <w:r w:rsidRPr="00185BD2">
              <w:rPr>
                <w:rFonts w:cs="Arial"/>
                <w:lang w:eastAsia="en-GB"/>
              </w:rPr>
              <w:t>2018</w:t>
            </w:r>
          </w:p>
        </w:tc>
        <w:tc>
          <w:tcPr>
            <w:tcW w:w="27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1531CF2" w14:textId="77777777" w:rsidR="00185BD2" w:rsidRPr="00185BD2" w:rsidRDefault="00185BD2" w:rsidP="00185BD2">
            <w:pPr>
              <w:jc w:val="center"/>
              <w:rPr>
                <w:rFonts w:cs="Arial"/>
                <w:lang w:eastAsia="en-GB"/>
              </w:rPr>
            </w:pPr>
            <w:r w:rsidRPr="00185BD2">
              <w:rPr>
                <w:rFonts w:cs="Arial"/>
                <w:lang w:eastAsia="en-GB"/>
              </w:rPr>
              <w:t>£2,550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C8A2CAF" w14:textId="77777777" w:rsidR="00185BD2" w:rsidRPr="00185BD2" w:rsidRDefault="00185BD2" w:rsidP="00185BD2">
            <w:pPr>
              <w:jc w:val="center"/>
              <w:rPr>
                <w:rFonts w:cs="Arial"/>
                <w:lang w:eastAsia="en-GB"/>
              </w:rPr>
            </w:pPr>
            <w:r w:rsidRPr="00185BD2">
              <w:rPr>
                <w:rFonts w:cs="Arial"/>
                <w:lang w:eastAsia="en-GB"/>
              </w:rPr>
              <w:t>£0.00</w:t>
            </w:r>
          </w:p>
        </w:tc>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BE0F4F7" w14:textId="77777777" w:rsidR="00185BD2" w:rsidRPr="00185BD2" w:rsidRDefault="00185BD2" w:rsidP="00185BD2">
            <w:pPr>
              <w:jc w:val="center"/>
              <w:rPr>
                <w:rFonts w:cs="Arial"/>
                <w:lang w:eastAsia="en-GB"/>
              </w:rPr>
            </w:pPr>
            <w:r w:rsidRPr="00185BD2">
              <w:rPr>
                <w:rFonts w:cs="Arial"/>
                <w:lang w:eastAsia="en-GB"/>
              </w:rPr>
              <w:t>£2,550</w:t>
            </w:r>
          </w:p>
        </w:tc>
      </w:tr>
      <w:tr w:rsidR="00185BD2" w:rsidRPr="00185BD2" w14:paraId="18DCC531" w14:textId="77777777" w:rsidTr="00185BD2">
        <w:trPr>
          <w:trHeight w:val="300"/>
        </w:trPr>
        <w:tc>
          <w:tcPr>
            <w:tcW w:w="1417"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74E8E5B2" w14:textId="77777777" w:rsidR="00185BD2" w:rsidRPr="00185BD2" w:rsidRDefault="00185BD2" w:rsidP="00185BD2">
            <w:pPr>
              <w:jc w:val="center"/>
              <w:rPr>
                <w:rFonts w:cs="Arial"/>
                <w:lang w:eastAsia="en-GB"/>
              </w:rPr>
            </w:pPr>
            <w:proofErr w:type="spellStart"/>
            <w:r w:rsidRPr="00185BD2">
              <w:rPr>
                <w:rFonts w:cs="Arial"/>
                <w:lang w:eastAsia="en-GB"/>
              </w:rPr>
              <w:t>Howbeck</w:t>
            </w:r>
            <w:proofErr w:type="spellEnd"/>
            <w:r w:rsidRPr="00185BD2">
              <w:rPr>
                <w:rFonts w:cs="Arial"/>
                <w:lang w:eastAsia="en-GB"/>
              </w:rPr>
              <w:t xml:space="preserve"> Road</w:t>
            </w:r>
          </w:p>
        </w:tc>
        <w:tc>
          <w:tcPr>
            <w:tcW w:w="1361"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25C0C119" w14:textId="77777777" w:rsidR="00185BD2" w:rsidRPr="00185BD2" w:rsidRDefault="00185BD2" w:rsidP="00185BD2">
            <w:pPr>
              <w:jc w:val="center"/>
              <w:rPr>
                <w:rFonts w:cs="Arial"/>
                <w:lang w:eastAsia="en-GB"/>
              </w:rPr>
            </w:pPr>
            <w:r w:rsidRPr="00185BD2">
              <w:rPr>
                <w:rFonts w:cs="Arial"/>
                <w:lang w:eastAsia="en-GB"/>
              </w:rPr>
              <w:t>2020</w:t>
            </w:r>
          </w:p>
        </w:tc>
        <w:tc>
          <w:tcPr>
            <w:tcW w:w="2705"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6EBC910E" w14:textId="77777777" w:rsidR="00185BD2" w:rsidRPr="00185BD2" w:rsidRDefault="00185BD2" w:rsidP="00185BD2">
            <w:pPr>
              <w:jc w:val="center"/>
              <w:rPr>
                <w:rFonts w:cs="Arial"/>
                <w:lang w:eastAsia="en-GB"/>
              </w:rPr>
            </w:pPr>
            <w:r w:rsidRPr="00185BD2">
              <w:rPr>
                <w:rFonts w:cs="Arial"/>
                <w:lang w:eastAsia="en-GB"/>
              </w:rPr>
              <w:t>£24,764</w:t>
            </w:r>
          </w:p>
        </w:tc>
        <w:tc>
          <w:tcPr>
            <w:tcW w:w="1418"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5315B009" w14:textId="77777777" w:rsidR="00185BD2" w:rsidRPr="00185BD2" w:rsidRDefault="00185BD2" w:rsidP="00185BD2">
            <w:pPr>
              <w:jc w:val="center"/>
              <w:rPr>
                <w:rFonts w:cs="Arial"/>
                <w:lang w:eastAsia="en-GB"/>
              </w:rPr>
            </w:pPr>
            <w:r w:rsidRPr="00185BD2">
              <w:rPr>
                <w:rFonts w:cs="Arial"/>
                <w:lang w:eastAsia="en-GB"/>
              </w:rPr>
              <w:t>£3,096</w:t>
            </w:r>
          </w:p>
        </w:tc>
        <w:tc>
          <w:tcPr>
            <w:tcW w:w="2013" w:type="dxa"/>
            <w:tcBorders>
              <w:top w:val="single" w:sz="4" w:space="0" w:color="auto"/>
              <w:left w:val="single" w:sz="4" w:space="0" w:color="auto"/>
              <w:bottom w:val="single" w:sz="4" w:space="0" w:color="auto"/>
              <w:right w:val="single" w:sz="4" w:space="0" w:color="auto"/>
            </w:tcBorders>
            <w:shd w:val="clear" w:color="000000" w:fill="D9D9D9"/>
            <w:tcMar>
              <w:top w:w="0" w:type="dxa"/>
              <w:left w:w="108" w:type="dxa"/>
              <w:bottom w:w="0" w:type="dxa"/>
              <w:right w:w="108" w:type="dxa"/>
            </w:tcMar>
            <w:vAlign w:val="center"/>
          </w:tcPr>
          <w:p w14:paraId="020F1D1E" w14:textId="77777777" w:rsidR="00185BD2" w:rsidRPr="00185BD2" w:rsidRDefault="00185BD2" w:rsidP="00185BD2">
            <w:pPr>
              <w:jc w:val="center"/>
              <w:rPr>
                <w:rFonts w:cs="Arial"/>
                <w:lang w:eastAsia="en-GB"/>
              </w:rPr>
            </w:pPr>
            <w:r w:rsidRPr="00185BD2">
              <w:rPr>
                <w:rFonts w:cs="Arial"/>
                <w:lang w:eastAsia="en-GB"/>
              </w:rPr>
              <w:t>£21,668</w:t>
            </w:r>
          </w:p>
        </w:tc>
      </w:tr>
      <w:tr w:rsidR="00185BD2" w:rsidRPr="00185BD2" w14:paraId="158CC312" w14:textId="77777777" w:rsidTr="00185BD2">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85B29B" w14:textId="77777777" w:rsidR="00185BD2" w:rsidRPr="00185BD2" w:rsidRDefault="00185BD2" w:rsidP="00185BD2">
            <w:pPr>
              <w:jc w:val="center"/>
              <w:rPr>
                <w:rFonts w:cs="Arial"/>
                <w:lang w:eastAsia="en-GB"/>
              </w:rPr>
            </w:pPr>
            <w:r w:rsidRPr="00185BD2">
              <w:rPr>
                <w:rFonts w:cs="Arial"/>
                <w:lang w:eastAsia="en-GB"/>
              </w:rPr>
              <w:t>Bailey Drive</w:t>
            </w:r>
          </w:p>
        </w:tc>
        <w:tc>
          <w:tcPr>
            <w:tcW w:w="136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21D1ED" w14:textId="77777777" w:rsidR="00185BD2" w:rsidRPr="00185BD2" w:rsidRDefault="00185BD2" w:rsidP="00185BD2">
            <w:pPr>
              <w:jc w:val="center"/>
              <w:rPr>
                <w:rFonts w:cs="Arial"/>
                <w:lang w:eastAsia="en-GB"/>
              </w:rPr>
            </w:pPr>
            <w:r w:rsidRPr="00185BD2">
              <w:rPr>
                <w:rFonts w:cs="Arial"/>
                <w:lang w:eastAsia="en-GB"/>
              </w:rPr>
              <w:t>2022</w:t>
            </w:r>
          </w:p>
        </w:tc>
        <w:tc>
          <w:tcPr>
            <w:tcW w:w="270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87F6755" w14:textId="77777777" w:rsidR="00185BD2" w:rsidRPr="00185BD2" w:rsidRDefault="00185BD2" w:rsidP="00185BD2">
            <w:pPr>
              <w:jc w:val="center"/>
              <w:rPr>
                <w:rFonts w:cs="Arial"/>
                <w:lang w:eastAsia="en-GB"/>
              </w:rPr>
            </w:pPr>
            <w:r w:rsidRPr="00185BD2">
              <w:rPr>
                <w:rFonts w:cs="Arial"/>
                <w:lang w:eastAsia="en-GB"/>
              </w:rPr>
              <w:t>£66,320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AC19FE" w14:textId="77777777" w:rsidR="00185BD2" w:rsidRPr="00185BD2" w:rsidRDefault="00185BD2" w:rsidP="00185BD2">
            <w:pPr>
              <w:jc w:val="center"/>
              <w:rPr>
                <w:rFonts w:cs="Arial"/>
                <w:lang w:eastAsia="en-GB"/>
              </w:rPr>
            </w:pPr>
            <w:r w:rsidRPr="00185BD2">
              <w:rPr>
                <w:rFonts w:cs="Arial"/>
                <w:lang w:eastAsia="en-GB"/>
              </w:rPr>
              <w:t>£6,632</w:t>
            </w:r>
          </w:p>
        </w:tc>
        <w:tc>
          <w:tcPr>
            <w:tcW w:w="20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6E179D" w14:textId="77777777" w:rsidR="00185BD2" w:rsidRPr="00185BD2" w:rsidRDefault="00185BD2" w:rsidP="00185BD2">
            <w:pPr>
              <w:jc w:val="center"/>
              <w:rPr>
                <w:rFonts w:cs="Arial"/>
                <w:lang w:eastAsia="en-GB"/>
              </w:rPr>
            </w:pPr>
            <w:r w:rsidRPr="00185BD2">
              <w:rPr>
                <w:rFonts w:cs="Arial"/>
                <w:lang w:eastAsia="en-GB"/>
              </w:rPr>
              <w:t>£59,688</w:t>
            </w:r>
          </w:p>
        </w:tc>
      </w:tr>
      <w:tr w:rsidR="000142C1" w:rsidRPr="00185BD2" w14:paraId="5A911D65" w14:textId="77777777" w:rsidTr="000142C1">
        <w:trPr>
          <w:trHeight w:val="300"/>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70CB596" w14:textId="6F8B41FD" w:rsidR="000142C1" w:rsidRPr="00185BD2" w:rsidRDefault="000142C1" w:rsidP="00185BD2">
            <w:pPr>
              <w:jc w:val="center"/>
              <w:rPr>
                <w:rFonts w:cs="Arial"/>
                <w:lang w:eastAsia="en-GB"/>
              </w:rPr>
            </w:pPr>
            <w:r>
              <w:rPr>
                <w:rFonts w:cs="Arial"/>
                <w:lang w:eastAsia="en-GB"/>
              </w:rPr>
              <w:t>Wood Lane</w:t>
            </w:r>
          </w:p>
        </w:tc>
        <w:tc>
          <w:tcPr>
            <w:tcW w:w="13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6D9F1B19" w14:textId="66C962A7" w:rsidR="000142C1" w:rsidRPr="00185BD2" w:rsidRDefault="000142C1" w:rsidP="00185BD2">
            <w:pPr>
              <w:jc w:val="center"/>
              <w:rPr>
                <w:rFonts w:cs="Arial"/>
                <w:lang w:eastAsia="en-GB"/>
              </w:rPr>
            </w:pPr>
            <w:r>
              <w:rPr>
                <w:rFonts w:cs="Arial"/>
                <w:lang w:eastAsia="en-GB"/>
              </w:rPr>
              <w:t>2022</w:t>
            </w:r>
          </w:p>
        </w:tc>
        <w:tc>
          <w:tcPr>
            <w:tcW w:w="27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BDF8599" w14:textId="3B31F17E" w:rsidR="000142C1" w:rsidRPr="00185BD2" w:rsidRDefault="000142C1" w:rsidP="00185BD2">
            <w:pPr>
              <w:jc w:val="center"/>
              <w:rPr>
                <w:rFonts w:cs="Arial"/>
                <w:lang w:eastAsia="en-GB"/>
              </w:rPr>
            </w:pPr>
            <w:r>
              <w:rPr>
                <w:rFonts w:cs="Arial"/>
                <w:szCs w:val="24"/>
              </w:rPr>
              <w:t>£8,223</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1914E745" w14:textId="4B72825D" w:rsidR="000142C1" w:rsidRPr="00185BD2" w:rsidRDefault="000142C1" w:rsidP="00185BD2">
            <w:pPr>
              <w:jc w:val="center"/>
              <w:rPr>
                <w:rFonts w:cs="Arial"/>
                <w:lang w:eastAsia="en-GB"/>
              </w:rPr>
            </w:pPr>
            <w:r>
              <w:rPr>
                <w:rFonts w:cs="Arial"/>
                <w:lang w:eastAsia="en-GB"/>
              </w:rPr>
              <w:t>£0.00</w:t>
            </w:r>
          </w:p>
        </w:tc>
        <w:tc>
          <w:tcPr>
            <w:tcW w:w="20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51F90DBE" w14:textId="03001623" w:rsidR="000142C1" w:rsidRPr="00185BD2" w:rsidRDefault="000142C1" w:rsidP="00185BD2">
            <w:pPr>
              <w:jc w:val="center"/>
              <w:rPr>
                <w:rFonts w:cs="Arial"/>
                <w:lang w:eastAsia="en-GB"/>
              </w:rPr>
            </w:pPr>
            <w:r>
              <w:rPr>
                <w:rFonts w:cs="Arial"/>
                <w:szCs w:val="24"/>
              </w:rPr>
              <w:t>£8,223</w:t>
            </w:r>
          </w:p>
        </w:tc>
      </w:tr>
      <w:tr w:rsidR="00205BDF" w:rsidRPr="00205BDF" w14:paraId="5AEF419E" w14:textId="77777777" w:rsidTr="00185BD2">
        <w:trPr>
          <w:trHeight w:val="315"/>
        </w:trPr>
        <w:tc>
          <w:tcPr>
            <w:tcW w:w="1417" w:type="dxa"/>
            <w:tcBorders>
              <w:top w:val="single" w:sz="4"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vAlign w:val="center"/>
            <w:hideMark/>
          </w:tcPr>
          <w:p w14:paraId="55F0F8FA" w14:textId="77777777" w:rsidR="001163AB" w:rsidRPr="00185BD2" w:rsidRDefault="001163AB" w:rsidP="001163AB">
            <w:pPr>
              <w:jc w:val="center"/>
              <w:rPr>
                <w:rFonts w:cs="Arial"/>
                <w:b/>
                <w:bCs/>
                <w:lang w:eastAsia="en-GB"/>
              </w:rPr>
            </w:pPr>
            <w:r w:rsidRPr="00185BD2">
              <w:rPr>
                <w:rFonts w:cs="Arial"/>
                <w:b/>
                <w:bCs/>
                <w:lang w:eastAsia="en-GB"/>
              </w:rPr>
              <w:t>Total</w:t>
            </w:r>
          </w:p>
        </w:tc>
        <w:tc>
          <w:tcPr>
            <w:tcW w:w="1361" w:type="dxa"/>
            <w:tcBorders>
              <w:top w:val="single" w:sz="4"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188C6597" w14:textId="77777777" w:rsidR="001163AB" w:rsidRPr="00185BD2" w:rsidRDefault="001163AB" w:rsidP="001163AB">
            <w:pPr>
              <w:jc w:val="center"/>
              <w:rPr>
                <w:rFonts w:cs="Arial"/>
                <w:b/>
                <w:bCs/>
                <w:lang w:eastAsia="en-GB"/>
              </w:rPr>
            </w:pPr>
          </w:p>
        </w:tc>
        <w:tc>
          <w:tcPr>
            <w:tcW w:w="2705" w:type="dxa"/>
            <w:tcBorders>
              <w:top w:val="single" w:sz="4"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5D22125E" w14:textId="6DFBCB0D" w:rsidR="001163AB" w:rsidRPr="00185BD2" w:rsidRDefault="001163AB" w:rsidP="001163AB">
            <w:pPr>
              <w:jc w:val="center"/>
              <w:rPr>
                <w:rFonts w:cs="Arial"/>
                <w:b/>
                <w:bCs/>
                <w:sz w:val="22"/>
                <w:lang w:eastAsia="en-GB"/>
              </w:rPr>
            </w:pPr>
            <w:r w:rsidRPr="00185BD2">
              <w:rPr>
                <w:rFonts w:cs="Arial"/>
                <w:b/>
                <w:bCs/>
              </w:rPr>
              <w:t>£</w:t>
            </w:r>
            <w:r w:rsidR="00185BD2" w:rsidRPr="00185BD2">
              <w:rPr>
                <w:rFonts w:cs="Arial"/>
                <w:b/>
                <w:bCs/>
              </w:rPr>
              <w:t>20</w:t>
            </w:r>
            <w:r w:rsidR="000142C1">
              <w:rPr>
                <w:rFonts w:cs="Arial"/>
                <w:b/>
                <w:bCs/>
              </w:rPr>
              <w:t>8</w:t>
            </w:r>
            <w:r w:rsidR="00185BD2" w:rsidRPr="00185BD2">
              <w:rPr>
                <w:rFonts w:cs="Arial"/>
                <w:b/>
                <w:bCs/>
              </w:rPr>
              <w:t>,</w:t>
            </w:r>
            <w:r w:rsidR="000142C1">
              <w:rPr>
                <w:rFonts w:cs="Arial"/>
                <w:b/>
                <w:bCs/>
              </w:rPr>
              <w:t>647</w:t>
            </w:r>
          </w:p>
        </w:tc>
        <w:tc>
          <w:tcPr>
            <w:tcW w:w="1418" w:type="dxa"/>
            <w:tcBorders>
              <w:top w:val="single" w:sz="4"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7F27890B" w14:textId="77777777" w:rsidR="001163AB" w:rsidRPr="00185BD2" w:rsidRDefault="001163AB" w:rsidP="001163AB">
            <w:pPr>
              <w:jc w:val="center"/>
              <w:rPr>
                <w:rFonts w:cs="Arial"/>
                <w:b/>
                <w:bCs/>
                <w:szCs w:val="24"/>
                <w:lang w:eastAsia="en-GB"/>
              </w:rPr>
            </w:pPr>
            <w:r w:rsidRPr="00185BD2">
              <w:rPr>
                <w:rFonts w:cs="Arial"/>
                <w:b/>
                <w:bCs/>
                <w:lang w:eastAsia="en-GB"/>
              </w:rPr>
              <w:t>£29,729</w:t>
            </w:r>
          </w:p>
        </w:tc>
        <w:tc>
          <w:tcPr>
            <w:tcW w:w="2013" w:type="dxa"/>
            <w:tcBorders>
              <w:top w:val="single" w:sz="4" w:space="0" w:color="auto"/>
              <w:left w:val="nil"/>
              <w:bottom w:val="single" w:sz="8" w:space="0" w:color="auto"/>
              <w:right w:val="single" w:sz="8" w:space="0" w:color="auto"/>
            </w:tcBorders>
            <w:shd w:val="clear" w:color="auto" w:fill="F2F2F2"/>
            <w:tcMar>
              <w:top w:w="0" w:type="dxa"/>
              <w:left w:w="108" w:type="dxa"/>
              <w:bottom w:w="0" w:type="dxa"/>
              <w:right w:w="108" w:type="dxa"/>
            </w:tcMar>
            <w:vAlign w:val="center"/>
            <w:hideMark/>
          </w:tcPr>
          <w:p w14:paraId="2AC17697" w14:textId="216AA92C" w:rsidR="001163AB" w:rsidRPr="00185BD2" w:rsidRDefault="001163AB" w:rsidP="001163AB">
            <w:pPr>
              <w:jc w:val="center"/>
              <w:rPr>
                <w:rFonts w:cs="Arial"/>
                <w:b/>
                <w:bCs/>
                <w:sz w:val="22"/>
                <w:lang w:eastAsia="en-GB"/>
              </w:rPr>
            </w:pPr>
            <w:r w:rsidRPr="00185BD2">
              <w:rPr>
                <w:rFonts w:cs="Arial"/>
                <w:b/>
                <w:bCs/>
                <w:lang w:eastAsia="en-GB"/>
              </w:rPr>
              <w:t>£</w:t>
            </w:r>
            <w:r w:rsidR="000142C1">
              <w:rPr>
                <w:rFonts w:cs="Arial"/>
                <w:b/>
                <w:bCs/>
                <w:lang w:eastAsia="en-GB"/>
              </w:rPr>
              <w:t>17</w:t>
            </w:r>
            <w:r w:rsidR="0021584B">
              <w:rPr>
                <w:rFonts w:cs="Arial"/>
                <w:b/>
                <w:bCs/>
                <w:lang w:eastAsia="en-GB"/>
              </w:rPr>
              <w:t>8</w:t>
            </w:r>
            <w:r w:rsidR="000142C1">
              <w:rPr>
                <w:rFonts w:cs="Arial"/>
                <w:b/>
                <w:bCs/>
                <w:lang w:eastAsia="en-GB"/>
              </w:rPr>
              <w:t>,918</w:t>
            </w:r>
          </w:p>
        </w:tc>
      </w:tr>
    </w:tbl>
    <w:p w14:paraId="19CEDE0E" w14:textId="6A113100" w:rsidR="001564FF" w:rsidRPr="00205BDF" w:rsidRDefault="001564FF" w:rsidP="003E47AA">
      <w:pPr>
        <w:pStyle w:val="NoSpacing"/>
        <w:rPr>
          <w:color w:val="FF0000"/>
        </w:rPr>
      </w:pPr>
    </w:p>
    <w:p w14:paraId="5FDF4389" w14:textId="7C9CAB98" w:rsidR="001564FF" w:rsidRPr="00205BDF" w:rsidRDefault="001564FF" w:rsidP="003E47AA">
      <w:pPr>
        <w:pStyle w:val="NoSpacing"/>
        <w:rPr>
          <w:color w:val="FF0000"/>
        </w:rPr>
      </w:pPr>
    </w:p>
    <w:p w14:paraId="37B176CF" w14:textId="6A0E2580" w:rsidR="00711F93" w:rsidRPr="00BB3646" w:rsidRDefault="00711F93" w:rsidP="006A7A1D">
      <w:pPr>
        <w:spacing w:line="360" w:lineRule="auto"/>
        <w:jc w:val="both"/>
        <w:rPr>
          <w:b/>
          <w:bCs/>
        </w:rPr>
      </w:pPr>
      <w:r w:rsidRPr="00BB3646">
        <w:rPr>
          <w:b/>
          <w:bCs/>
        </w:rPr>
        <w:t>3.5</w:t>
      </w:r>
      <w:r w:rsidRPr="00BB3646">
        <w:rPr>
          <w:b/>
          <w:bCs/>
        </w:rPr>
        <w:tab/>
        <w:t>Section 106 Monitoring Fees</w:t>
      </w:r>
    </w:p>
    <w:p w14:paraId="062082A2" w14:textId="19FF0E06" w:rsidR="000F39AB" w:rsidRPr="00BB3646" w:rsidRDefault="005F3BCA" w:rsidP="006A7A1D">
      <w:pPr>
        <w:spacing w:line="360" w:lineRule="auto"/>
        <w:jc w:val="both"/>
        <w:rPr>
          <w:bCs/>
        </w:rPr>
      </w:pPr>
      <w:r w:rsidRPr="00BB3646">
        <w:rPr>
          <w:bCs/>
        </w:rPr>
        <w:t xml:space="preserve">The Community Infrastructure Levy (Amendment) (England) (No. 2) Regulations 2019 introduced a provision for Local Authorities to insert Monitoring Clauses into future Section 106 Agreements. These clauses </w:t>
      </w:r>
      <w:r w:rsidR="000F39AB" w:rsidRPr="00BB3646">
        <w:rPr>
          <w:bCs/>
        </w:rPr>
        <w:t>allow</w:t>
      </w:r>
      <w:r w:rsidR="00CD12AD" w:rsidRPr="00BB3646">
        <w:rPr>
          <w:bCs/>
        </w:rPr>
        <w:t xml:space="preserve"> fees to be levied to support</w:t>
      </w:r>
      <w:r w:rsidR="000F39AB" w:rsidRPr="00BB3646">
        <w:rPr>
          <w:bCs/>
        </w:rPr>
        <w:t xml:space="preserve"> the</w:t>
      </w:r>
      <w:r w:rsidRPr="00BB3646">
        <w:rPr>
          <w:bCs/>
        </w:rPr>
        <w:t xml:space="preserve"> costs of monitoring and reporting on the delivery </w:t>
      </w:r>
      <w:r w:rsidR="00CC7E00" w:rsidRPr="00BB3646">
        <w:rPr>
          <w:bCs/>
        </w:rPr>
        <w:t>of Section</w:t>
      </w:r>
      <w:r w:rsidRPr="00BB3646">
        <w:rPr>
          <w:bCs/>
        </w:rPr>
        <w:t xml:space="preserve"> 106 </w:t>
      </w:r>
      <w:r w:rsidR="00CD12AD" w:rsidRPr="00BB3646">
        <w:rPr>
          <w:bCs/>
        </w:rPr>
        <w:t>planning o</w:t>
      </w:r>
      <w:r w:rsidRPr="00BB3646">
        <w:rPr>
          <w:bCs/>
        </w:rPr>
        <w:t>bligation</w:t>
      </w:r>
      <w:r w:rsidR="00CC7E00" w:rsidRPr="00BB3646">
        <w:rPr>
          <w:bCs/>
        </w:rPr>
        <w:t>s</w:t>
      </w:r>
      <w:r w:rsidRPr="00BB3646">
        <w:rPr>
          <w:bCs/>
        </w:rPr>
        <w:t>.</w:t>
      </w:r>
    </w:p>
    <w:p w14:paraId="15F98967" w14:textId="62C40D9F" w:rsidR="000F39AB" w:rsidRPr="000E2418" w:rsidRDefault="000F39AB" w:rsidP="006A7A1D">
      <w:pPr>
        <w:spacing w:line="360" w:lineRule="auto"/>
        <w:jc w:val="both"/>
        <w:rPr>
          <w:bCs/>
        </w:rPr>
      </w:pPr>
      <w:r w:rsidRPr="00BB3646">
        <w:rPr>
          <w:bCs/>
        </w:rPr>
        <w:t xml:space="preserve">Whilst the </w:t>
      </w:r>
      <w:proofErr w:type="gramStart"/>
      <w:r w:rsidRPr="00BB3646">
        <w:rPr>
          <w:bCs/>
        </w:rPr>
        <w:t>amendments</w:t>
      </w:r>
      <w:proofErr w:type="gramEnd"/>
      <w:r w:rsidRPr="00BB3646">
        <w:rPr>
          <w:bCs/>
        </w:rPr>
        <w:t xml:space="preserve"> to the Regulations allows for </w:t>
      </w:r>
      <w:r w:rsidR="00CD12AD" w:rsidRPr="00BB3646">
        <w:rPr>
          <w:bCs/>
        </w:rPr>
        <w:t>m</w:t>
      </w:r>
      <w:r w:rsidRPr="00BB3646">
        <w:rPr>
          <w:bCs/>
        </w:rPr>
        <w:t xml:space="preserve">onitoring </w:t>
      </w:r>
      <w:r w:rsidR="00CD12AD" w:rsidRPr="00BB3646">
        <w:rPr>
          <w:bCs/>
        </w:rPr>
        <w:t>f</w:t>
      </w:r>
      <w:r w:rsidRPr="00BB3646">
        <w:rPr>
          <w:bCs/>
        </w:rPr>
        <w:t>ees to be</w:t>
      </w:r>
      <w:r w:rsidR="00CD12AD" w:rsidRPr="00BB3646">
        <w:rPr>
          <w:bCs/>
        </w:rPr>
        <w:t xml:space="preserve"> levied</w:t>
      </w:r>
      <w:r w:rsidRPr="00BB3646">
        <w:rPr>
          <w:bCs/>
        </w:rPr>
        <w:t xml:space="preserve">, any such fee must be both fair and reasonable based on the Local Authorities estimates of the actual costs of monitoring the </w:t>
      </w:r>
      <w:r w:rsidR="00CD12AD" w:rsidRPr="00BB3646">
        <w:rPr>
          <w:bCs/>
        </w:rPr>
        <w:t>agreement</w:t>
      </w:r>
      <w:r w:rsidR="00CC7E00" w:rsidRPr="00BB3646">
        <w:rPr>
          <w:bCs/>
        </w:rPr>
        <w:t>.</w:t>
      </w:r>
      <w:r w:rsidR="00CD12AD" w:rsidRPr="00BB3646">
        <w:rPr>
          <w:bCs/>
        </w:rPr>
        <w:t xml:space="preserve"> The Borough</w:t>
      </w:r>
      <w:r w:rsidR="00B15683" w:rsidRPr="00BB3646">
        <w:rPr>
          <w:bCs/>
        </w:rPr>
        <w:t xml:space="preserve"> Council has an adopted policy which can be viewed on the council’s website at the following link - </w:t>
      </w:r>
      <w:hyperlink r:id="rId17" w:history="1">
        <w:r w:rsidR="007C23DC" w:rsidRPr="000E2418">
          <w:rPr>
            <w:rStyle w:val="Hyperlink"/>
            <w:rFonts w:cs="Arial"/>
            <w:color w:val="auto"/>
            <w:szCs w:val="24"/>
          </w:rPr>
          <w:t>https://democracy.gedling.gov.uk/documents/s16689/Appendix%201%20Monitoring%20Fee%20Ststement.pdf</w:t>
        </w:r>
      </w:hyperlink>
      <w:r w:rsidR="00CD12AD" w:rsidRPr="000E2418">
        <w:rPr>
          <w:bCs/>
        </w:rPr>
        <w:t xml:space="preserve">. </w:t>
      </w:r>
    </w:p>
    <w:p w14:paraId="0587D622" w14:textId="4D560983" w:rsidR="00711F93" w:rsidRPr="000E2418" w:rsidRDefault="001163AB" w:rsidP="006A7A1D">
      <w:pPr>
        <w:spacing w:line="360" w:lineRule="auto"/>
        <w:jc w:val="both"/>
        <w:rPr>
          <w:bCs/>
        </w:rPr>
      </w:pPr>
      <w:r w:rsidRPr="000E2418">
        <w:rPr>
          <w:bCs/>
        </w:rPr>
        <w:t xml:space="preserve">During the financial year </w:t>
      </w:r>
      <w:r w:rsidR="00A4343E" w:rsidRPr="000E2418">
        <w:rPr>
          <w:bCs/>
        </w:rPr>
        <w:t>20</w:t>
      </w:r>
      <w:r w:rsidRPr="000E2418">
        <w:rPr>
          <w:bCs/>
        </w:rPr>
        <w:t>2</w:t>
      </w:r>
      <w:r w:rsidR="000E2418" w:rsidRPr="000E2418">
        <w:rPr>
          <w:bCs/>
        </w:rPr>
        <w:t>2</w:t>
      </w:r>
      <w:r w:rsidRPr="000E2418">
        <w:rPr>
          <w:bCs/>
        </w:rPr>
        <w:t>/2</w:t>
      </w:r>
      <w:r w:rsidR="000E2418" w:rsidRPr="000E2418">
        <w:rPr>
          <w:bCs/>
        </w:rPr>
        <w:t>3</w:t>
      </w:r>
      <w:r w:rsidRPr="000E2418">
        <w:rPr>
          <w:bCs/>
        </w:rPr>
        <w:t xml:space="preserve"> Gedling Borough Council completed </w:t>
      </w:r>
      <w:r w:rsidR="000E2418" w:rsidRPr="000E2418">
        <w:rPr>
          <w:bCs/>
        </w:rPr>
        <w:t>1 new</w:t>
      </w:r>
      <w:r w:rsidR="001B09AC" w:rsidRPr="000E2418">
        <w:rPr>
          <w:bCs/>
        </w:rPr>
        <w:t xml:space="preserve"> </w:t>
      </w:r>
      <w:r w:rsidRPr="000E2418">
        <w:rPr>
          <w:bCs/>
        </w:rPr>
        <w:t>Section 106 Agreement which include</w:t>
      </w:r>
      <w:r w:rsidR="000E2418" w:rsidRPr="000E2418">
        <w:rPr>
          <w:bCs/>
        </w:rPr>
        <w:t>d</w:t>
      </w:r>
      <w:r w:rsidRPr="000E2418">
        <w:rPr>
          <w:bCs/>
        </w:rPr>
        <w:t xml:space="preserve"> the provision of a Monitoring </w:t>
      </w:r>
      <w:r w:rsidR="001B09AC" w:rsidRPr="000E2418">
        <w:rPr>
          <w:bCs/>
        </w:rPr>
        <w:t xml:space="preserve">Fees in </w:t>
      </w:r>
      <w:r w:rsidRPr="000E2418">
        <w:rPr>
          <w:bCs/>
        </w:rPr>
        <w:t>accordance with the above policy.</w:t>
      </w:r>
      <w:r w:rsidR="008659A4" w:rsidRPr="000E2418">
        <w:rPr>
          <w:bCs/>
        </w:rPr>
        <w:t xml:space="preserve"> A list of these developments and the relevant monitoring fee</w:t>
      </w:r>
      <w:r w:rsidR="002869E2" w:rsidRPr="000E2418">
        <w:rPr>
          <w:bCs/>
        </w:rPr>
        <w:t>s</w:t>
      </w:r>
      <w:r w:rsidRPr="000E2418">
        <w:rPr>
          <w:bCs/>
        </w:rPr>
        <w:t xml:space="preserve">, including monitoring fees which have been </w:t>
      </w:r>
      <w:r w:rsidR="00C955C7" w:rsidRPr="000E2418">
        <w:rPr>
          <w:bCs/>
        </w:rPr>
        <w:t>sought</w:t>
      </w:r>
      <w:r w:rsidRPr="000E2418">
        <w:rPr>
          <w:bCs/>
        </w:rPr>
        <w:t xml:space="preserve"> in relation to pre-existing agreements,</w:t>
      </w:r>
      <w:r w:rsidR="00D273B9" w:rsidRPr="000E2418">
        <w:rPr>
          <w:bCs/>
        </w:rPr>
        <w:t xml:space="preserve"> are detailed below.</w:t>
      </w:r>
      <w:r w:rsidR="002C35EA" w:rsidRPr="000E2418">
        <w:rPr>
          <w:bCs/>
        </w:rPr>
        <w:t xml:space="preserve"> Upon receipt of the monitoring fee the relevant records will be removed from the table. </w:t>
      </w:r>
      <w:r w:rsidR="00D273B9" w:rsidRPr="000E2418">
        <w:rPr>
          <w:bCs/>
        </w:rPr>
        <w:t xml:space="preserve"> </w:t>
      </w:r>
    </w:p>
    <w:tbl>
      <w:tblPr>
        <w:tblW w:w="8823" w:type="dxa"/>
        <w:tblInd w:w="98" w:type="dxa"/>
        <w:tblLook w:val="04A0" w:firstRow="1" w:lastRow="0" w:firstColumn="1" w:lastColumn="0" w:noHBand="0" w:noVBand="1"/>
      </w:tblPr>
      <w:tblGrid>
        <w:gridCol w:w="3578"/>
        <w:gridCol w:w="1448"/>
        <w:gridCol w:w="1812"/>
        <w:gridCol w:w="1985"/>
      </w:tblGrid>
      <w:tr w:rsidR="00205BDF" w:rsidRPr="00205BDF" w14:paraId="44B20B08" w14:textId="77777777" w:rsidTr="00F96DF5">
        <w:trPr>
          <w:trHeight w:val="615"/>
        </w:trPr>
        <w:tc>
          <w:tcPr>
            <w:tcW w:w="8823" w:type="dxa"/>
            <w:gridSpan w:val="4"/>
            <w:tcBorders>
              <w:top w:val="single" w:sz="8" w:space="0" w:color="auto"/>
              <w:left w:val="single" w:sz="8" w:space="0" w:color="auto"/>
              <w:bottom w:val="single" w:sz="8" w:space="0" w:color="auto"/>
              <w:right w:val="single" w:sz="8" w:space="0" w:color="auto"/>
            </w:tcBorders>
            <w:shd w:val="clear" w:color="auto" w:fill="000000" w:themeFill="text1"/>
            <w:vAlign w:val="center"/>
          </w:tcPr>
          <w:p w14:paraId="4E08DA78" w14:textId="6FC10EEE" w:rsidR="000F39AB" w:rsidRPr="00205BDF" w:rsidRDefault="000F39AB" w:rsidP="00E722D5">
            <w:pPr>
              <w:spacing w:after="0"/>
              <w:rPr>
                <w:rFonts w:cs="Arial"/>
                <w:b/>
                <w:bCs/>
                <w:color w:val="FF0000"/>
                <w:lang w:eastAsia="en-GB"/>
              </w:rPr>
            </w:pPr>
            <w:r w:rsidRPr="00BB3646">
              <w:rPr>
                <w:rFonts w:cs="Arial"/>
                <w:b/>
                <w:bCs/>
                <w:lang w:eastAsia="en-GB"/>
              </w:rPr>
              <w:lastRenderedPageBreak/>
              <w:t>Table 1</w:t>
            </w:r>
            <w:r w:rsidR="00E722D5" w:rsidRPr="00BB3646">
              <w:rPr>
                <w:rFonts w:cs="Arial"/>
                <w:b/>
                <w:bCs/>
                <w:lang w:eastAsia="en-GB"/>
              </w:rPr>
              <w:t>4</w:t>
            </w:r>
            <w:r w:rsidRPr="00BB3646">
              <w:rPr>
                <w:rFonts w:cs="Arial"/>
                <w:b/>
                <w:bCs/>
                <w:lang w:eastAsia="en-GB"/>
              </w:rPr>
              <w:t xml:space="preserve">. </w:t>
            </w:r>
            <w:r w:rsidR="006121F8" w:rsidRPr="00BB3646">
              <w:rPr>
                <w:rFonts w:cs="Arial"/>
                <w:b/>
                <w:bCs/>
                <w:lang w:eastAsia="en-GB"/>
              </w:rPr>
              <w:t>Section 106 Agreements with Monitoring Fees</w:t>
            </w:r>
            <w:r w:rsidR="00ED720C" w:rsidRPr="00BB3646">
              <w:rPr>
                <w:rFonts w:cs="Arial"/>
                <w:b/>
                <w:bCs/>
                <w:lang w:eastAsia="en-GB"/>
              </w:rPr>
              <w:t xml:space="preserve"> </w:t>
            </w:r>
            <w:r w:rsidR="00ED720C" w:rsidRPr="00BB3646">
              <w:rPr>
                <w:b/>
                <w:bCs/>
              </w:rPr>
              <w:t>(to the nearest £)</w:t>
            </w:r>
          </w:p>
        </w:tc>
      </w:tr>
      <w:tr w:rsidR="00205BDF" w:rsidRPr="00205BDF" w14:paraId="6F1B49B3" w14:textId="77777777" w:rsidTr="00AC4871">
        <w:trPr>
          <w:trHeight w:val="615"/>
        </w:trPr>
        <w:tc>
          <w:tcPr>
            <w:tcW w:w="3578"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7D5DF8C9" w14:textId="77777777" w:rsidR="006121F8" w:rsidRPr="000E2418" w:rsidRDefault="006121F8" w:rsidP="00F96DF5">
            <w:pPr>
              <w:spacing w:after="0"/>
              <w:jc w:val="center"/>
              <w:rPr>
                <w:rFonts w:cs="Arial"/>
                <w:lang w:eastAsia="en-GB"/>
              </w:rPr>
            </w:pPr>
            <w:r w:rsidRPr="000E2418">
              <w:rPr>
                <w:rFonts w:cs="Arial"/>
                <w:b/>
                <w:bCs/>
                <w:lang w:eastAsia="en-GB"/>
              </w:rPr>
              <w:t>Site</w:t>
            </w:r>
          </w:p>
        </w:tc>
        <w:tc>
          <w:tcPr>
            <w:tcW w:w="144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191E30C8" w14:textId="04FF1DFB" w:rsidR="006121F8" w:rsidRPr="000E2418" w:rsidRDefault="006121F8" w:rsidP="00F96DF5">
            <w:pPr>
              <w:spacing w:after="0"/>
              <w:jc w:val="center"/>
              <w:rPr>
                <w:rFonts w:cs="Arial"/>
                <w:lang w:eastAsia="en-GB"/>
              </w:rPr>
            </w:pPr>
            <w:r w:rsidRPr="000E2418">
              <w:rPr>
                <w:rFonts w:cs="Arial"/>
                <w:b/>
                <w:bCs/>
                <w:lang w:eastAsia="en-GB"/>
              </w:rPr>
              <w:t>Date S106 Signed</w:t>
            </w:r>
          </w:p>
        </w:tc>
        <w:tc>
          <w:tcPr>
            <w:tcW w:w="181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6422294" w14:textId="4658CC16" w:rsidR="006121F8" w:rsidRPr="000E2418" w:rsidRDefault="006121F8" w:rsidP="00F96DF5">
            <w:pPr>
              <w:spacing w:after="0"/>
              <w:jc w:val="center"/>
              <w:rPr>
                <w:rFonts w:cs="Arial"/>
                <w:lang w:eastAsia="en-GB"/>
              </w:rPr>
            </w:pPr>
            <w:r w:rsidRPr="000E2418">
              <w:rPr>
                <w:rFonts w:cs="Arial"/>
                <w:b/>
                <w:bCs/>
                <w:lang w:eastAsia="en-GB"/>
              </w:rPr>
              <w:t>Value of Monitoring Fee</w:t>
            </w:r>
          </w:p>
        </w:tc>
        <w:tc>
          <w:tcPr>
            <w:tcW w:w="1985"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2354AE7" w14:textId="4A8D3BB4" w:rsidR="006121F8" w:rsidRPr="000E2418" w:rsidRDefault="006121F8" w:rsidP="00AC4871">
            <w:pPr>
              <w:spacing w:after="0"/>
              <w:jc w:val="center"/>
              <w:rPr>
                <w:rFonts w:cs="Arial"/>
                <w:b/>
                <w:lang w:eastAsia="en-GB"/>
              </w:rPr>
            </w:pPr>
            <w:r w:rsidRPr="000E2418">
              <w:rPr>
                <w:rFonts w:cs="Arial"/>
                <w:b/>
                <w:lang w:eastAsia="en-GB"/>
              </w:rPr>
              <w:t xml:space="preserve">Status </w:t>
            </w:r>
          </w:p>
        </w:tc>
      </w:tr>
      <w:tr w:rsidR="00205BDF" w:rsidRPr="00205BDF" w14:paraId="7CBF3363"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3F3DC72B" w14:textId="626B7B97" w:rsidR="00D273B9" w:rsidRPr="000E2418" w:rsidRDefault="00D273B9" w:rsidP="005E608E">
            <w:pPr>
              <w:spacing w:after="0"/>
              <w:jc w:val="center"/>
              <w:rPr>
                <w:rFonts w:cs="Arial"/>
                <w:bCs/>
                <w:lang w:eastAsia="en-GB"/>
              </w:rPr>
            </w:pPr>
            <w:r w:rsidRPr="000E2418">
              <w:rPr>
                <w:rFonts w:cs="Arial"/>
                <w:bCs/>
                <w:lang w:eastAsia="en-GB"/>
              </w:rPr>
              <w:t>Land On Flatts Lane, Calverton, Nottinghamshire</w:t>
            </w:r>
          </w:p>
        </w:tc>
        <w:tc>
          <w:tcPr>
            <w:tcW w:w="1448" w:type="dxa"/>
            <w:tcBorders>
              <w:top w:val="nil"/>
              <w:left w:val="nil"/>
              <w:bottom w:val="single" w:sz="8" w:space="0" w:color="auto"/>
              <w:right w:val="single" w:sz="8" w:space="0" w:color="auto"/>
            </w:tcBorders>
            <w:shd w:val="clear" w:color="auto" w:fill="FFFFFF" w:themeFill="background1"/>
            <w:vAlign w:val="center"/>
          </w:tcPr>
          <w:p w14:paraId="400E9350" w14:textId="50714439" w:rsidR="00D273B9" w:rsidRPr="000E2418" w:rsidRDefault="00D273B9" w:rsidP="00D273B9">
            <w:pPr>
              <w:spacing w:after="0"/>
              <w:jc w:val="center"/>
              <w:rPr>
                <w:rFonts w:cs="Arial"/>
                <w:bCs/>
                <w:lang w:eastAsia="en-GB"/>
              </w:rPr>
            </w:pPr>
            <w:r w:rsidRPr="000E2418">
              <w:rPr>
                <w:rFonts w:cs="Arial"/>
                <w:bCs/>
                <w:lang w:eastAsia="en-GB"/>
              </w:rPr>
              <w:t>03.03.2020</w:t>
            </w:r>
          </w:p>
        </w:tc>
        <w:tc>
          <w:tcPr>
            <w:tcW w:w="1812" w:type="dxa"/>
            <w:tcBorders>
              <w:top w:val="nil"/>
              <w:left w:val="nil"/>
              <w:bottom w:val="single" w:sz="8" w:space="0" w:color="auto"/>
              <w:right w:val="single" w:sz="8" w:space="0" w:color="auto"/>
            </w:tcBorders>
            <w:shd w:val="clear" w:color="auto" w:fill="FFFFFF" w:themeFill="background1"/>
            <w:vAlign w:val="center"/>
          </w:tcPr>
          <w:p w14:paraId="0A3643F9" w14:textId="145FA783" w:rsidR="00D273B9" w:rsidRPr="000E2418" w:rsidRDefault="00D273B9" w:rsidP="00ED720C">
            <w:pPr>
              <w:spacing w:after="0"/>
              <w:jc w:val="center"/>
              <w:rPr>
                <w:rFonts w:cs="Arial"/>
                <w:bCs/>
              </w:rPr>
            </w:pPr>
            <w:r w:rsidRPr="000E2418">
              <w:rPr>
                <w:rFonts w:cs="Arial"/>
                <w:bCs/>
              </w:rPr>
              <w:t>£2,835</w:t>
            </w:r>
          </w:p>
        </w:tc>
        <w:tc>
          <w:tcPr>
            <w:tcW w:w="1985" w:type="dxa"/>
            <w:tcBorders>
              <w:top w:val="nil"/>
              <w:left w:val="nil"/>
              <w:bottom w:val="single" w:sz="8" w:space="0" w:color="auto"/>
              <w:right w:val="single" w:sz="8" w:space="0" w:color="auto"/>
            </w:tcBorders>
            <w:shd w:val="clear" w:color="auto" w:fill="FFFFFF" w:themeFill="background1"/>
            <w:vAlign w:val="center"/>
          </w:tcPr>
          <w:p w14:paraId="5EDA6E1D" w14:textId="09A5601F" w:rsidR="00D273B9" w:rsidRPr="000E2418" w:rsidRDefault="00CC4729" w:rsidP="00D273B9">
            <w:pPr>
              <w:spacing w:after="0"/>
              <w:jc w:val="center"/>
              <w:rPr>
                <w:rFonts w:cs="Arial"/>
                <w:bCs/>
                <w:lang w:eastAsia="en-GB"/>
              </w:rPr>
            </w:pPr>
            <w:r w:rsidRPr="000E2418">
              <w:rPr>
                <w:rFonts w:cs="Arial"/>
                <w:bCs/>
                <w:lang w:eastAsia="en-GB"/>
              </w:rPr>
              <w:t>Payment Due</w:t>
            </w:r>
          </w:p>
        </w:tc>
      </w:tr>
      <w:tr w:rsidR="00205BDF" w:rsidRPr="00205BDF" w14:paraId="7972E8ED"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773A63D8" w14:textId="0FA2B55D" w:rsidR="00D273B9" w:rsidRPr="000E2418" w:rsidRDefault="00D273B9" w:rsidP="005E608E">
            <w:pPr>
              <w:spacing w:after="0"/>
              <w:jc w:val="center"/>
              <w:rPr>
                <w:rFonts w:cs="Arial"/>
                <w:lang w:eastAsia="en-GB"/>
              </w:rPr>
            </w:pPr>
            <w:r w:rsidRPr="000E2418">
              <w:rPr>
                <w:rFonts w:cs="Arial"/>
                <w:bCs/>
                <w:lang w:eastAsia="en-GB"/>
              </w:rPr>
              <w:t>Land at Orchard Close, Burton Joyce, Nottinghamshire</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16155261" w14:textId="70145E7D" w:rsidR="00D273B9" w:rsidRPr="000E2418" w:rsidRDefault="00D273B9" w:rsidP="00D273B9">
            <w:pPr>
              <w:spacing w:after="0"/>
              <w:jc w:val="center"/>
              <w:rPr>
                <w:rFonts w:cs="Arial"/>
                <w:lang w:eastAsia="en-GB"/>
              </w:rPr>
            </w:pPr>
            <w:r w:rsidRPr="000E2418">
              <w:rPr>
                <w:rFonts w:cs="Arial"/>
                <w:bCs/>
                <w:lang w:eastAsia="en-GB"/>
              </w:rPr>
              <w:t>26.03.2020</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4B05FEEC" w14:textId="11806705" w:rsidR="00D273B9" w:rsidRPr="000E2418" w:rsidRDefault="00D273B9" w:rsidP="00ED720C">
            <w:pPr>
              <w:spacing w:after="0"/>
              <w:jc w:val="center"/>
              <w:rPr>
                <w:rFonts w:cs="Arial"/>
                <w:lang w:eastAsia="en-GB"/>
              </w:rPr>
            </w:pPr>
            <w:r w:rsidRPr="000E2418">
              <w:rPr>
                <w:rFonts w:cs="Arial"/>
                <w:bCs/>
              </w:rPr>
              <w:t>£2,520</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4011799A" w14:textId="0944CE38" w:rsidR="00D273B9" w:rsidRPr="000E2418" w:rsidRDefault="000E2418" w:rsidP="00D273B9">
            <w:pPr>
              <w:spacing w:after="0"/>
              <w:jc w:val="center"/>
              <w:rPr>
                <w:rFonts w:cs="Arial"/>
                <w:bCs/>
                <w:lang w:eastAsia="en-GB"/>
              </w:rPr>
            </w:pPr>
            <w:r w:rsidRPr="000E2418">
              <w:rPr>
                <w:rFonts w:cs="Arial"/>
                <w:bCs/>
                <w:lang w:eastAsia="en-GB"/>
              </w:rPr>
              <w:t>Payment Due</w:t>
            </w:r>
          </w:p>
        </w:tc>
      </w:tr>
      <w:tr w:rsidR="00205BDF" w:rsidRPr="00205BDF" w14:paraId="03B7AD92"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21D405B8" w14:textId="0076DC9E" w:rsidR="00D273B9" w:rsidRPr="000E2418" w:rsidRDefault="00D273B9" w:rsidP="005E608E">
            <w:pPr>
              <w:spacing w:after="0"/>
              <w:jc w:val="center"/>
              <w:rPr>
                <w:rFonts w:cs="Arial"/>
                <w:bCs/>
                <w:lang w:eastAsia="en-GB"/>
              </w:rPr>
            </w:pPr>
            <w:r w:rsidRPr="000E2418">
              <w:rPr>
                <w:rFonts w:cs="Arial"/>
                <w:lang w:eastAsia="en-GB"/>
              </w:rPr>
              <w:t>Land at Brookfields Garden Centre, Mapperley Plains, Nottingham, NG3 5RW</w:t>
            </w:r>
          </w:p>
        </w:tc>
        <w:tc>
          <w:tcPr>
            <w:tcW w:w="1448" w:type="dxa"/>
            <w:tcBorders>
              <w:top w:val="nil"/>
              <w:left w:val="nil"/>
              <w:bottom w:val="single" w:sz="8" w:space="0" w:color="auto"/>
              <w:right w:val="single" w:sz="8" w:space="0" w:color="auto"/>
            </w:tcBorders>
            <w:shd w:val="clear" w:color="auto" w:fill="FFFFFF" w:themeFill="background1"/>
            <w:vAlign w:val="center"/>
          </w:tcPr>
          <w:p w14:paraId="5DEC1658" w14:textId="6AFA503E" w:rsidR="00D273B9" w:rsidRPr="000E2418" w:rsidRDefault="00D273B9" w:rsidP="00D273B9">
            <w:pPr>
              <w:spacing w:after="0"/>
              <w:jc w:val="center"/>
              <w:rPr>
                <w:rFonts w:cs="Arial"/>
                <w:bCs/>
                <w:lang w:eastAsia="en-GB"/>
              </w:rPr>
            </w:pPr>
            <w:r w:rsidRPr="000E2418">
              <w:rPr>
                <w:rFonts w:cs="Arial"/>
                <w:lang w:eastAsia="en-GB"/>
              </w:rPr>
              <w:t>26.03.2020</w:t>
            </w:r>
          </w:p>
        </w:tc>
        <w:tc>
          <w:tcPr>
            <w:tcW w:w="1812" w:type="dxa"/>
            <w:tcBorders>
              <w:top w:val="nil"/>
              <w:left w:val="nil"/>
              <w:bottom w:val="single" w:sz="8" w:space="0" w:color="auto"/>
              <w:right w:val="single" w:sz="8" w:space="0" w:color="auto"/>
            </w:tcBorders>
            <w:shd w:val="clear" w:color="auto" w:fill="FFFFFF" w:themeFill="background1"/>
            <w:vAlign w:val="center"/>
          </w:tcPr>
          <w:p w14:paraId="45221824" w14:textId="2FFBE6DC" w:rsidR="00D273B9" w:rsidRPr="000E2418" w:rsidRDefault="00D273B9" w:rsidP="00ED720C">
            <w:pPr>
              <w:spacing w:after="0"/>
              <w:jc w:val="center"/>
              <w:rPr>
                <w:rFonts w:cs="Arial"/>
                <w:bCs/>
              </w:rPr>
            </w:pPr>
            <w:r w:rsidRPr="000E2418">
              <w:rPr>
                <w:rFonts w:cs="Arial"/>
                <w:lang w:eastAsia="en-GB"/>
              </w:rPr>
              <w:t>£2,205</w:t>
            </w:r>
          </w:p>
        </w:tc>
        <w:tc>
          <w:tcPr>
            <w:tcW w:w="1985" w:type="dxa"/>
            <w:tcBorders>
              <w:top w:val="nil"/>
              <w:left w:val="nil"/>
              <w:bottom w:val="single" w:sz="8" w:space="0" w:color="auto"/>
              <w:right w:val="single" w:sz="8" w:space="0" w:color="auto"/>
            </w:tcBorders>
            <w:shd w:val="clear" w:color="auto" w:fill="FFFFFF" w:themeFill="background1"/>
            <w:vAlign w:val="center"/>
          </w:tcPr>
          <w:p w14:paraId="480505AE" w14:textId="128B57E4" w:rsidR="00D273B9" w:rsidRPr="000E2418" w:rsidRDefault="00D273B9" w:rsidP="00D273B9">
            <w:pPr>
              <w:spacing w:after="0"/>
              <w:jc w:val="center"/>
              <w:rPr>
                <w:rFonts w:cs="Arial"/>
                <w:bCs/>
                <w:lang w:eastAsia="en-GB"/>
              </w:rPr>
            </w:pPr>
            <w:r w:rsidRPr="000E2418">
              <w:rPr>
                <w:rFonts w:cs="Arial"/>
                <w:bCs/>
                <w:lang w:eastAsia="en-GB"/>
              </w:rPr>
              <w:t>Not Commenced</w:t>
            </w:r>
          </w:p>
        </w:tc>
      </w:tr>
      <w:tr w:rsidR="00205BDF" w:rsidRPr="00205BDF" w14:paraId="0FA000A7"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702C828" w14:textId="460A87AC" w:rsidR="00D273B9" w:rsidRPr="000E2418" w:rsidRDefault="00D273B9" w:rsidP="005E608E">
            <w:pPr>
              <w:spacing w:after="0"/>
              <w:jc w:val="center"/>
              <w:rPr>
                <w:rFonts w:cs="Arial"/>
                <w:bCs/>
                <w:lang w:eastAsia="en-GB"/>
              </w:rPr>
            </w:pPr>
            <w:r w:rsidRPr="000E2418">
              <w:rPr>
                <w:rFonts w:cs="Arial"/>
                <w:bCs/>
                <w:lang w:eastAsia="en-GB"/>
              </w:rPr>
              <w:t>Land at Chase Farm, Mapperley Plains, Mapperley, Nottingham</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10C561A7" w14:textId="53AD1FDA" w:rsidR="00D273B9" w:rsidRPr="000E2418" w:rsidRDefault="00D273B9" w:rsidP="00D273B9">
            <w:pPr>
              <w:spacing w:after="0"/>
              <w:jc w:val="center"/>
              <w:rPr>
                <w:rFonts w:cs="Arial"/>
                <w:bCs/>
                <w:lang w:eastAsia="en-GB"/>
              </w:rPr>
            </w:pPr>
            <w:r w:rsidRPr="000E2418">
              <w:rPr>
                <w:rFonts w:cs="Arial"/>
                <w:bCs/>
                <w:lang w:eastAsia="en-GB"/>
              </w:rPr>
              <w:t>09.07.2020</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7F400EB5" w14:textId="6350F3DC" w:rsidR="00D273B9" w:rsidRPr="000E2418" w:rsidRDefault="00D273B9" w:rsidP="00ED720C">
            <w:pPr>
              <w:spacing w:after="0"/>
              <w:jc w:val="center"/>
              <w:rPr>
                <w:rFonts w:cs="Arial"/>
                <w:bCs/>
              </w:rPr>
            </w:pPr>
            <w:r w:rsidRPr="000E2418">
              <w:rPr>
                <w:rFonts w:cs="Arial"/>
                <w:bCs/>
              </w:rPr>
              <w:t>£1,890</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57811F70" w14:textId="704CDA6D" w:rsidR="00D273B9" w:rsidRPr="000E2418" w:rsidRDefault="00D273B9" w:rsidP="00D273B9">
            <w:pPr>
              <w:spacing w:after="0"/>
              <w:jc w:val="center"/>
              <w:rPr>
                <w:rFonts w:cs="Arial"/>
                <w:bCs/>
                <w:lang w:eastAsia="en-GB"/>
              </w:rPr>
            </w:pPr>
            <w:r w:rsidRPr="000E2418">
              <w:rPr>
                <w:rFonts w:cs="Arial"/>
                <w:bCs/>
                <w:lang w:eastAsia="en-GB"/>
              </w:rPr>
              <w:t>Not Commenced</w:t>
            </w:r>
          </w:p>
        </w:tc>
      </w:tr>
      <w:tr w:rsidR="00205BDF" w:rsidRPr="00205BDF" w14:paraId="6294DACD"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0C2B7ECF" w14:textId="5ABE1E91" w:rsidR="00C955C7" w:rsidRPr="000E2418" w:rsidRDefault="00C955C7" w:rsidP="005E608E">
            <w:pPr>
              <w:spacing w:after="0"/>
              <w:jc w:val="center"/>
              <w:rPr>
                <w:rFonts w:cs="Arial"/>
                <w:bCs/>
                <w:lang w:eastAsia="en-GB"/>
              </w:rPr>
            </w:pPr>
            <w:r w:rsidRPr="000E2418">
              <w:rPr>
                <w:rFonts w:cs="Arial"/>
                <w:bCs/>
                <w:lang w:eastAsia="en-GB"/>
              </w:rPr>
              <w:t xml:space="preserve">Land South </w:t>
            </w:r>
            <w:r w:rsidR="00716103">
              <w:rPr>
                <w:rFonts w:cs="Arial"/>
                <w:bCs/>
                <w:lang w:eastAsia="en-GB"/>
              </w:rPr>
              <w:t>o</w:t>
            </w:r>
            <w:r w:rsidRPr="000E2418">
              <w:rPr>
                <w:rFonts w:cs="Arial"/>
                <w:bCs/>
                <w:lang w:eastAsia="en-GB"/>
              </w:rPr>
              <w:t>f</w:t>
            </w:r>
            <w:r w:rsidR="005E608E" w:rsidRPr="000E2418">
              <w:rPr>
                <w:rFonts w:cs="Arial"/>
                <w:bCs/>
                <w:lang w:eastAsia="en-GB"/>
              </w:rPr>
              <w:t xml:space="preserve"> Main Street, Calverton, </w:t>
            </w:r>
            <w:r w:rsidRPr="000E2418">
              <w:rPr>
                <w:rFonts w:cs="Arial"/>
                <w:bCs/>
                <w:lang w:eastAsia="en-GB"/>
              </w:rPr>
              <w:t>Nottinghamshire</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7BAC7801" w14:textId="47CF9CEF" w:rsidR="00C955C7" w:rsidRPr="000E2418" w:rsidRDefault="005E608E" w:rsidP="005E608E">
            <w:pPr>
              <w:spacing w:after="0"/>
              <w:rPr>
                <w:rFonts w:cs="Arial"/>
                <w:bCs/>
                <w:lang w:eastAsia="en-GB"/>
              </w:rPr>
            </w:pPr>
            <w:r w:rsidRPr="000E2418">
              <w:rPr>
                <w:rFonts w:cs="Arial"/>
                <w:bCs/>
                <w:lang w:eastAsia="en-GB"/>
              </w:rPr>
              <w:t>07.04.2021</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2284B008" w14:textId="691F1D2F" w:rsidR="00C955C7" w:rsidRPr="000E2418" w:rsidRDefault="00C955C7" w:rsidP="00ED720C">
            <w:pPr>
              <w:spacing w:after="0"/>
              <w:jc w:val="center"/>
              <w:rPr>
                <w:rFonts w:cs="Arial"/>
                <w:bCs/>
              </w:rPr>
            </w:pPr>
            <w:r w:rsidRPr="000E2418">
              <w:rPr>
                <w:rFonts w:cs="Arial"/>
                <w:lang w:eastAsia="en-GB"/>
              </w:rPr>
              <w:t>£2,205</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5761EB83" w14:textId="123E4BD8" w:rsidR="00C955C7" w:rsidRPr="000E2418" w:rsidRDefault="00881F97" w:rsidP="00D273B9">
            <w:pPr>
              <w:spacing w:after="0"/>
              <w:jc w:val="center"/>
              <w:rPr>
                <w:rFonts w:cs="Arial"/>
                <w:bCs/>
                <w:lang w:eastAsia="en-GB"/>
              </w:rPr>
            </w:pPr>
            <w:r w:rsidRPr="000E2418">
              <w:rPr>
                <w:rFonts w:cs="Arial"/>
                <w:bCs/>
                <w:lang w:eastAsia="en-GB"/>
              </w:rPr>
              <w:t>Not Commenced</w:t>
            </w:r>
          </w:p>
        </w:tc>
      </w:tr>
      <w:tr w:rsidR="00205BDF" w:rsidRPr="00205BDF" w14:paraId="7F498B70"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2AF06B26" w14:textId="746EBDBB" w:rsidR="005E608E" w:rsidRPr="000E2418" w:rsidRDefault="005E608E" w:rsidP="005E608E">
            <w:pPr>
              <w:spacing w:after="0"/>
              <w:jc w:val="center"/>
              <w:rPr>
                <w:rFonts w:cs="Arial"/>
                <w:szCs w:val="18"/>
                <w:shd w:val="clear" w:color="auto" w:fill="FFFFFF"/>
              </w:rPr>
            </w:pPr>
            <w:r w:rsidRPr="000E2418">
              <w:rPr>
                <w:rFonts w:cs="Arial"/>
                <w:bCs/>
                <w:lang w:eastAsia="en-GB"/>
              </w:rPr>
              <w:t>Land East of 16 Kighill Lane, Ravenshead, Nottinghamshire</w:t>
            </w:r>
          </w:p>
        </w:tc>
        <w:tc>
          <w:tcPr>
            <w:tcW w:w="1448" w:type="dxa"/>
            <w:tcBorders>
              <w:top w:val="nil"/>
              <w:left w:val="nil"/>
              <w:bottom w:val="single" w:sz="8" w:space="0" w:color="auto"/>
              <w:right w:val="single" w:sz="8" w:space="0" w:color="auto"/>
            </w:tcBorders>
            <w:shd w:val="clear" w:color="auto" w:fill="FFFFFF" w:themeFill="background1"/>
            <w:vAlign w:val="center"/>
          </w:tcPr>
          <w:p w14:paraId="644B65B2" w14:textId="57719C1A" w:rsidR="005E608E" w:rsidRPr="000E2418" w:rsidRDefault="005E608E" w:rsidP="005E608E">
            <w:pPr>
              <w:spacing w:after="0"/>
              <w:rPr>
                <w:rFonts w:cs="Arial"/>
                <w:bCs/>
                <w:lang w:eastAsia="en-GB"/>
              </w:rPr>
            </w:pPr>
            <w:r w:rsidRPr="000E2418">
              <w:rPr>
                <w:rFonts w:cs="Arial"/>
                <w:bCs/>
                <w:lang w:eastAsia="en-GB"/>
              </w:rPr>
              <w:t>22.04.2021</w:t>
            </w:r>
          </w:p>
        </w:tc>
        <w:tc>
          <w:tcPr>
            <w:tcW w:w="1812" w:type="dxa"/>
            <w:tcBorders>
              <w:top w:val="nil"/>
              <w:left w:val="nil"/>
              <w:bottom w:val="single" w:sz="8" w:space="0" w:color="auto"/>
              <w:right w:val="single" w:sz="8" w:space="0" w:color="auto"/>
            </w:tcBorders>
            <w:shd w:val="clear" w:color="auto" w:fill="FFFFFF" w:themeFill="background1"/>
            <w:vAlign w:val="center"/>
          </w:tcPr>
          <w:p w14:paraId="3B895626" w14:textId="3FED9C4C" w:rsidR="005E608E" w:rsidRPr="000E2418" w:rsidRDefault="005E608E" w:rsidP="00ED720C">
            <w:pPr>
              <w:spacing w:after="0"/>
              <w:jc w:val="center"/>
              <w:rPr>
                <w:rFonts w:cs="Arial"/>
                <w:lang w:eastAsia="en-GB"/>
              </w:rPr>
            </w:pPr>
            <w:r w:rsidRPr="000E2418">
              <w:rPr>
                <w:rFonts w:cs="Arial"/>
                <w:lang w:eastAsia="en-GB"/>
              </w:rPr>
              <w:t>£315</w:t>
            </w:r>
          </w:p>
        </w:tc>
        <w:tc>
          <w:tcPr>
            <w:tcW w:w="1985" w:type="dxa"/>
            <w:tcBorders>
              <w:top w:val="nil"/>
              <w:left w:val="nil"/>
              <w:bottom w:val="single" w:sz="8" w:space="0" w:color="auto"/>
              <w:right w:val="single" w:sz="8" w:space="0" w:color="auto"/>
            </w:tcBorders>
            <w:shd w:val="clear" w:color="auto" w:fill="FFFFFF" w:themeFill="background1"/>
            <w:vAlign w:val="center"/>
          </w:tcPr>
          <w:p w14:paraId="1EBACCA5" w14:textId="42A99F9F" w:rsidR="005E608E" w:rsidRPr="000E2418" w:rsidRDefault="00881F97" w:rsidP="005E608E">
            <w:pPr>
              <w:spacing w:after="0"/>
              <w:jc w:val="center"/>
              <w:rPr>
                <w:rFonts w:cs="Arial"/>
                <w:bCs/>
                <w:lang w:eastAsia="en-GB"/>
              </w:rPr>
            </w:pPr>
            <w:r w:rsidRPr="000E2418">
              <w:rPr>
                <w:rFonts w:cs="Arial"/>
                <w:bCs/>
                <w:lang w:eastAsia="en-GB"/>
              </w:rPr>
              <w:t>Payment Due</w:t>
            </w:r>
          </w:p>
        </w:tc>
      </w:tr>
      <w:tr w:rsidR="00205BDF" w:rsidRPr="00205BDF" w14:paraId="73A1CD20"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58BFC5EC" w14:textId="1DFE6D7C" w:rsidR="005E608E" w:rsidRPr="000E2418" w:rsidRDefault="005E608E" w:rsidP="005E608E">
            <w:pPr>
              <w:spacing w:after="0"/>
              <w:jc w:val="center"/>
              <w:rPr>
                <w:rFonts w:cs="Arial"/>
                <w:szCs w:val="18"/>
                <w:shd w:val="clear" w:color="auto" w:fill="FFFFFF"/>
              </w:rPr>
            </w:pPr>
            <w:r w:rsidRPr="000E2418">
              <w:rPr>
                <w:rFonts w:cs="Arial"/>
                <w:bCs/>
                <w:lang w:eastAsia="en-GB"/>
              </w:rPr>
              <w:t>Car Park, North Green, Calverton, Nottinghamshire</w:t>
            </w:r>
          </w:p>
        </w:tc>
        <w:tc>
          <w:tcPr>
            <w:tcW w:w="1448" w:type="dxa"/>
            <w:tcBorders>
              <w:top w:val="nil"/>
              <w:left w:val="nil"/>
              <w:bottom w:val="single" w:sz="8" w:space="0" w:color="auto"/>
              <w:right w:val="single" w:sz="8" w:space="0" w:color="auto"/>
            </w:tcBorders>
            <w:shd w:val="clear" w:color="auto" w:fill="D9D9D9" w:themeFill="background1" w:themeFillShade="D9"/>
            <w:vAlign w:val="center"/>
          </w:tcPr>
          <w:p w14:paraId="5018DFBA" w14:textId="44BB0051" w:rsidR="005E608E" w:rsidRPr="000E2418" w:rsidRDefault="005E608E" w:rsidP="005E608E">
            <w:pPr>
              <w:spacing w:after="0"/>
              <w:rPr>
                <w:rFonts w:cs="Arial"/>
                <w:bCs/>
                <w:lang w:eastAsia="en-GB"/>
              </w:rPr>
            </w:pPr>
            <w:r w:rsidRPr="000E2418">
              <w:rPr>
                <w:rFonts w:cs="Arial"/>
                <w:bCs/>
                <w:lang w:eastAsia="en-GB"/>
              </w:rPr>
              <w:t>11.06.2021</w:t>
            </w:r>
          </w:p>
        </w:tc>
        <w:tc>
          <w:tcPr>
            <w:tcW w:w="1812" w:type="dxa"/>
            <w:tcBorders>
              <w:top w:val="nil"/>
              <w:left w:val="nil"/>
              <w:bottom w:val="single" w:sz="8" w:space="0" w:color="auto"/>
              <w:right w:val="single" w:sz="8" w:space="0" w:color="auto"/>
            </w:tcBorders>
            <w:shd w:val="clear" w:color="auto" w:fill="D9D9D9" w:themeFill="background1" w:themeFillShade="D9"/>
            <w:vAlign w:val="center"/>
          </w:tcPr>
          <w:p w14:paraId="654BB91C" w14:textId="1FE40095" w:rsidR="005E608E" w:rsidRPr="000E2418" w:rsidRDefault="005E608E" w:rsidP="00ED720C">
            <w:pPr>
              <w:spacing w:after="0"/>
              <w:jc w:val="center"/>
              <w:rPr>
                <w:rFonts w:cs="Arial"/>
                <w:lang w:eastAsia="en-GB"/>
              </w:rPr>
            </w:pPr>
            <w:r w:rsidRPr="000E2418">
              <w:rPr>
                <w:rFonts w:cs="Arial"/>
                <w:lang w:eastAsia="en-GB"/>
              </w:rPr>
              <w:t>£630</w:t>
            </w:r>
          </w:p>
        </w:tc>
        <w:tc>
          <w:tcPr>
            <w:tcW w:w="1985" w:type="dxa"/>
            <w:tcBorders>
              <w:top w:val="nil"/>
              <w:left w:val="nil"/>
              <w:bottom w:val="single" w:sz="8" w:space="0" w:color="auto"/>
              <w:right w:val="single" w:sz="8" w:space="0" w:color="auto"/>
            </w:tcBorders>
            <w:shd w:val="clear" w:color="auto" w:fill="D9D9D9" w:themeFill="background1" w:themeFillShade="D9"/>
            <w:vAlign w:val="center"/>
          </w:tcPr>
          <w:p w14:paraId="25095F82" w14:textId="10D731E8" w:rsidR="005E608E" w:rsidRPr="000E2418" w:rsidRDefault="00881F97" w:rsidP="005E608E">
            <w:pPr>
              <w:spacing w:after="0"/>
              <w:jc w:val="center"/>
              <w:rPr>
                <w:rFonts w:cs="Arial"/>
                <w:bCs/>
                <w:lang w:eastAsia="en-GB"/>
              </w:rPr>
            </w:pPr>
            <w:r w:rsidRPr="000E2418">
              <w:rPr>
                <w:rFonts w:cs="Arial"/>
                <w:bCs/>
                <w:lang w:eastAsia="en-GB"/>
              </w:rPr>
              <w:t>Not Commenced</w:t>
            </w:r>
          </w:p>
        </w:tc>
      </w:tr>
      <w:tr w:rsidR="00205BDF" w:rsidRPr="00205BDF" w14:paraId="10657D1D"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5F7D09EE" w14:textId="49CB55D0" w:rsidR="005E608E" w:rsidRPr="000E2418" w:rsidRDefault="005E608E" w:rsidP="005E608E">
            <w:pPr>
              <w:spacing w:after="0"/>
              <w:jc w:val="center"/>
              <w:rPr>
                <w:rFonts w:cs="Arial"/>
                <w:bCs/>
                <w:lang w:eastAsia="en-GB"/>
              </w:rPr>
            </w:pPr>
            <w:r w:rsidRPr="000E2418">
              <w:rPr>
                <w:rFonts w:cs="Arial"/>
                <w:bCs/>
                <w:lang w:eastAsia="en-GB"/>
              </w:rPr>
              <w:t>Top Wighay Farm, Wighay Road, Linby, Nottinghamshire</w:t>
            </w:r>
          </w:p>
        </w:tc>
        <w:tc>
          <w:tcPr>
            <w:tcW w:w="1448" w:type="dxa"/>
            <w:tcBorders>
              <w:top w:val="nil"/>
              <w:left w:val="nil"/>
              <w:bottom w:val="single" w:sz="8" w:space="0" w:color="auto"/>
              <w:right w:val="single" w:sz="8" w:space="0" w:color="auto"/>
            </w:tcBorders>
            <w:shd w:val="clear" w:color="auto" w:fill="FFFFFF" w:themeFill="background1"/>
            <w:vAlign w:val="center"/>
          </w:tcPr>
          <w:p w14:paraId="5AF2DF1A" w14:textId="31D827B8" w:rsidR="005E608E" w:rsidRPr="000E2418" w:rsidRDefault="005E608E" w:rsidP="005E608E">
            <w:pPr>
              <w:spacing w:after="0"/>
              <w:rPr>
                <w:rFonts w:cs="Arial"/>
                <w:bCs/>
                <w:lang w:eastAsia="en-GB"/>
              </w:rPr>
            </w:pPr>
            <w:r w:rsidRPr="000E2418">
              <w:rPr>
                <w:rFonts w:cs="Arial"/>
                <w:bCs/>
                <w:lang w:eastAsia="en-GB"/>
              </w:rPr>
              <w:t>25.03.2022</w:t>
            </w:r>
          </w:p>
        </w:tc>
        <w:tc>
          <w:tcPr>
            <w:tcW w:w="1812" w:type="dxa"/>
            <w:tcBorders>
              <w:top w:val="nil"/>
              <w:left w:val="nil"/>
              <w:bottom w:val="single" w:sz="8" w:space="0" w:color="auto"/>
              <w:right w:val="single" w:sz="8" w:space="0" w:color="auto"/>
            </w:tcBorders>
            <w:shd w:val="clear" w:color="auto" w:fill="FFFFFF" w:themeFill="background1"/>
            <w:vAlign w:val="center"/>
          </w:tcPr>
          <w:p w14:paraId="3265DB03" w14:textId="063CD57D" w:rsidR="005E608E" w:rsidRPr="000E2418" w:rsidRDefault="005E608E" w:rsidP="00ED720C">
            <w:pPr>
              <w:spacing w:after="0"/>
              <w:jc w:val="center"/>
              <w:rPr>
                <w:rFonts w:cs="Arial"/>
                <w:bCs/>
              </w:rPr>
            </w:pPr>
            <w:r w:rsidRPr="000E2418">
              <w:rPr>
                <w:rFonts w:cs="Arial"/>
                <w:bCs/>
              </w:rPr>
              <w:t>£5,040</w:t>
            </w:r>
          </w:p>
        </w:tc>
        <w:tc>
          <w:tcPr>
            <w:tcW w:w="1985" w:type="dxa"/>
            <w:tcBorders>
              <w:top w:val="nil"/>
              <w:left w:val="nil"/>
              <w:bottom w:val="single" w:sz="8" w:space="0" w:color="auto"/>
              <w:right w:val="single" w:sz="8" w:space="0" w:color="auto"/>
            </w:tcBorders>
            <w:shd w:val="clear" w:color="auto" w:fill="FFFFFF" w:themeFill="background1"/>
            <w:vAlign w:val="center"/>
          </w:tcPr>
          <w:p w14:paraId="088FD184" w14:textId="6CFF3B53" w:rsidR="005E608E" w:rsidRPr="000E2418" w:rsidRDefault="00881F97" w:rsidP="005E608E">
            <w:pPr>
              <w:spacing w:after="0"/>
              <w:jc w:val="center"/>
              <w:rPr>
                <w:rFonts w:cs="Arial"/>
                <w:bCs/>
                <w:lang w:eastAsia="en-GB"/>
              </w:rPr>
            </w:pPr>
            <w:r w:rsidRPr="000E2418">
              <w:rPr>
                <w:rFonts w:cs="Arial"/>
                <w:bCs/>
                <w:lang w:eastAsia="en-GB"/>
              </w:rPr>
              <w:t>Not Commenced</w:t>
            </w:r>
          </w:p>
        </w:tc>
      </w:tr>
      <w:tr w:rsidR="00185BD2" w:rsidRPr="00205BDF" w14:paraId="3D065530"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FFFFFF" w:themeFill="background1"/>
            <w:vAlign w:val="center"/>
          </w:tcPr>
          <w:p w14:paraId="3A7C94FC" w14:textId="4FE52501" w:rsidR="00185BD2" w:rsidRPr="00185BD2" w:rsidRDefault="00185BD2" w:rsidP="005E608E">
            <w:pPr>
              <w:spacing w:after="0"/>
              <w:jc w:val="center"/>
              <w:rPr>
                <w:rFonts w:cs="Arial"/>
                <w:bCs/>
                <w:lang w:eastAsia="en-GB"/>
              </w:rPr>
            </w:pPr>
            <w:r w:rsidRPr="00185BD2">
              <w:rPr>
                <w:rFonts w:cs="Arial"/>
                <w:bCs/>
                <w:lang w:eastAsia="en-GB"/>
              </w:rPr>
              <w:t>73 Burton Road, Carlton, Nottingham</w:t>
            </w:r>
          </w:p>
        </w:tc>
        <w:tc>
          <w:tcPr>
            <w:tcW w:w="1448" w:type="dxa"/>
            <w:tcBorders>
              <w:top w:val="nil"/>
              <w:left w:val="nil"/>
              <w:bottom w:val="single" w:sz="8" w:space="0" w:color="auto"/>
              <w:right w:val="single" w:sz="8" w:space="0" w:color="auto"/>
            </w:tcBorders>
            <w:shd w:val="clear" w:color="auto" w:fill="FFFFFF" w:themeFill="background1"/>
            <w:vAlign w:val="center"/>
          </w:tcPr>
          <w:p w14:paraId="586C47C2" w14:textId="65AFAA86" w:rsidR="00185BD2" w:rsidRPr="00185BD2" w:rsidRDefault="00185BD2" w:rsidP="005E608E">
            <w:pPr>
              <w:spacing w:after="0"/>
              <w:rPr>
                <w:rFonts w:cs="Arial"/>
                <w:bCs/>
                <w:lang w:eastAsia="en-GB"/>
              </w:rPr>
            </w:pPr>
            <w:r w:rsidRPr="00185BD2">
              <w:rPr>
                <w:rFonts w:cs="Arial"/>
                <w:bCs/>
                <w:lang w:eastAsia="en-GB"/>
              </w:rPr>
              <w:t>16.06.2022</w:t>
            </w:r>
          </w:p>
        </w:tc>
        <w:tc>
          <w:tcPr>
            <w:tcW w:w="1812" w:type="dxa"/>
            <w:tcBorders>
              <w:top w:val="nil"/>
              <w:left w:val="nil"/>
              <w:bottom w:val="single" w:sz="8" w:space="0" w:color="auto"/>
              <w:right w:val="single" w:sz="8" w:space="0" w:color="auto"/>
            </w:tcBorders>
            <w:shd w:val="clear" w:color="auto" w:fill="FFFFFF" w:themeFill="background1"/>
            <w:vAlign w:val="center"/>
          </w:tcPr>
          <w:p w14:paraId="4D09D0DE" w14:textId="16BF20CD" w:rsidR="00185BD2" w:rsidRPr="00185BD2" w:rsidRDefault="00185BD2" w:rsidP="00ED720C">
            <w:pPr>
              <w:spacing w:after="0"/>
              <w:jc w:val="center"/>
              <w:rPr>
                <w:rFonts w:cs="Arial"/>
                <w:bCs/>
              </w:rPr>
            </w:pPr>
            <w:r w:rsidRPr="00185BD2">
              <w:rPr>
                <w:rFonts w:cs="Arial"/>
                <w:bCs/>
              </w:rPr>
              <w:t>£630</w:t>
            </w:r>
          </w:p>
        </w:tc>
        <w:tc>
          <w:tcPr>
            <w:tcW w:w="1985" w:type="dxa"/>
            <w:tcBorders>
              <w:top w:val="nil"/>
              <w:left w:val="nil"/>
              <w:bottom w:val="single" w:sz="8" w:space="0" w:color="auto"/>
              <w:right w:val="single" w:sz="8" w:space="0" w:color="auto"/>
            </w:tcBorders>
            <w:shd w:val="clear" w:color="auto" w:fill="FFFFFF" w:themeFill="background1"/>
            <w:vAlign w:val="center"/>
          </w:tcPr>
          <w:p w14:paraId="0C9EA400" w14:textId="7A3B41DE" w:rsidR="00185BD2" w:rsidRPr="00185BD2" w:rsidRDefault="00185BD2" w:rsidP="005E608E">
            <w:pPr>
              <w:spacing w:after="0"/>
              <w:jc w:val="center"/>
              <w:rPr>
                <w:rFonts w:cs="Arial"/>
                <w:bCs/>
                <w:lang w:eastAsia="en-GB"/>
              </w:rPr>
            </w:pPr>
            <w:r w:rsidRPr="00185BD2">
              <w:rPr>
                <w:rFonts w:cs="Arial"/>
                <w:bCs/>
                <w:lang w:eastAsia="en-GB"/>
              </w:rPr>
              <w:t>Not Commenced</w:t>
            </w:r>
          </w:p>
        </w:tc>
      </w:tr>
      <w:tr w:rsidR="00205BDF" w:rsidRPr="00205BDF" w14:paraId="5E68FCA3" w14:textId="77777777" w:rsidTr="005E608E">
        <w:trPr>
          <w:trHeight w:val="315"/>
        </w:trPr>
        <w:tc>
          <w:tcPr>
            <w:tcW w:w="3578" w:type="dxa"/>
            <w:tcBorders>
              <w:top w:val="nil"/>
              <w:left w:val="single" w:sz="8" w:space="0" w:color="auto"/>
              <w:bottom w:val="single" w:sz="8" w:space="0" w:color="auto"/>
              <w:right w:val="single" w:sz="8" w:space="0" w:color="auto"/>
            </w:tcBorders>
            <w:shd w:val="clear" w:color="auto" w:fill="D9D9D9" w:themeFill="background1" w:themeFillShade="D9"/>
            <w:vAlign w:val="center"/>
            <w:hideMark/>
          </w:tcPr>
          <w:p w14:paraId="56217127" w14:textId="77777777" w:rsidR="005E608E" w:rsidRPr="000E2418" w:rsidRDefault="005E608E" w:rsidP="005E608E">
            <w:pPr>
              <w:spacing w:after="0"/>
              <w:jc w:val="center"/>
              <w:rPr>
                <w:rFonts w:cs="Arial"/>
                <w:b/>
                <w:bCs/>
                <w:lang w:eastAsia="en-GB"/>
              </w:rPr>
            </w:pPr>
            <w:r w:rsidRPr="000E2418">
              <w:rPr>
                <w:rFonts w:cs="Arial"/>
                <w:b/>
                <w:bCs/>
                <w:lang w:eastAsia="en-GB"/>
              </w:rPr>
              <w:t>Total</w:t>
            </w:r>
          </w:p>
        </w:tc>
        <w:tc>
          <w:tcPr>
            <w:tcW w:w="1448" w:type="dxa"/>
            <w:tcBorders>
              <w:top w:val="nil"/>
              <w:left w:val="nil"/>
              <w:bottom w:val="single" w:sz="8" w:space="0" w:color="auto"/>
              <w:right w:val="single" w:sz="8" w:space="0" w:color="auto"/>
            </w:tcBorders>
            <w:shd w:val="clear" w:color="auto" w:fill="D9D9D9" w:themeFill="background1" w:themeFillShade="D9"/>
            <w:vAlign w:val="center"/>
            <w:hideMark/>
          </w:tcPr>
          <w:p w14:paraId="5BFEB68A" w14:textId="77777777" w:rsidR="005E608E" w:rsidRPr="000E2418" w:rsidRDefault="005E608E" w:rsidP="005E608E">
            <w:pPr>
              <w:rPr>
                <w:rFonts w:cs="Arial"/>
                <w:b/>
                <w:bCs/>
                <w:lang w:eastAsia="en-GB"/>
              </w:rPr>
            </w:pPr>
          </w:p>
        </w:tc>
        <w:tc>
          <w:tcPr>
            <w:tcW w:w="1812" w:type="dxa"/>
            <w:tcBorders>
              <w:top w:val="nil"/>
              <w:left w:val="nil"/>
              <w:bottom w:val="single" w:sz="8" w:space="0" w:color="auto"/>
              <w:right w:val="single" w:sz="8" w:space="0" w:color="auto"/>
            </w:tcBorders>
            <w:shd w:val="clear" w:color="auto" w:fill="D9D9D9" w:themeFill="background1" w:themeFillShade="D9"/>
            <w:vAlign w:val="center"/>
            <w:hideMark/>
          </w:tcPr>
          <w:p w14:paraId="55ADB003" w14:textId="39A58317" w:rsidR="005E608E" w:rsidRPr="000E2418" w:rsidRDefault="005E608E" w:rsidP="00ED720C">
            <w:pPr>
              <w:spacing w:after="0"/>
              <w:jc w:val="center"/>
              <w:rPr>
                <w:rFonts w:cs="Arial"/>
                <w:b/>
                <w:bCs/>
                <w:sz w:val="22"/>
                <w:lang w:eastAsia="en-GB"/>
              </w:rPr>
            </w:pPr>
            <w:r w:rsidRPr="000E2418">
              <w:rPr>
                <w:rFonts w:cs="Arial"/>
                <w:b/>
                <w:bCs/>
              </w:rPr>
              <w:t>£</w:t>
            </w:r>
            <w:r w:rsidR="000E2418" w:rsidRPr="000E2418">
              <w:rPr>
                <w:rFonts w:cs="Arial"/>
                <w:b/>
                <w:bCs/>
              </w:rPr>
              <w:t>18,270</w:t>
            </w:r>
          </w:p>
        </w:tc>
        <w:tc>
          <w:tcPr>
            <w:tcW w:w="1985" w:type="dxa"/>
            <w:tcBorders>
              <w:top w:val="nil"/>
              <w:left w:val="nil"/>
              <w:bottom w:val="single" w:sz="8" w:space="0" w:color="auto"/>
              <w:right w:val="single" w:sz="8" w:space="0" w:color="auto"/>
            </w:tcBorders>
            <w:shd w:val="clear" w:color="auto" w:fill="D9D9D9" w:themeFill="background1" w:themeFillShade="D9"/>
            <w:vAlign w:val="center"/>
            <w:hideMark/>
          </w:tcPr>
          <w:p w14:paraId="034641CE" w14:textId="5E465155" w:rsidR="005E608E" w:rsidRPr="00205BDF" w:rsidRDefault="005E608E" w:rsidP="005E608E">
            <w:pPr>
              <w:spacing w:after="0"/>
              <w:jc w:val="center"/>
              <w:rPr>
                <w:rFonts w:cs="Arial"/>
                <w:b/>
                <w:bCs/>
                <w:color w:val="FF0000"/>
                <w:lang w:eastAsia="en-GB"/>
              </w:rPr>
            </w:pPr>
          </w:p>
        </w:tc>
      </w:tr>
    </w:tbl>
    <w:p w14:paraId="7D85B3BA" w14:textId="21F5FF46" w:rsidR="000F39AB" w:rsidRPr="00205BDF" w:rsidRDefault="000F39AB" w:rsidP="00406C04">
      <w:pPr>
        <w:pStyle w:val="NoSpacing"/>
        <w:rPr>
          <w:color w:val="FF0000"/>
        </w:rPr>
      </w:pPr>
    </w:p>
    <w:p w14:paraId="754EE968" w14:textId="452D1E36" w:rsidR="00E07724" w:rsidRPr="00BB3646" w:rsidRDefault="00E07724" w:rsidP="006A7A1D">
      <w:pPr>
        <w:spacing w:line="360" w:lineRule="auto"/>
        <w:jc w:val="both"/>
        <w:rPr>
          <w:b/>
          <w:bCs/>
        </w:rPr>
      </w:pPr>
      <w:r w:rsidRPr="00BB3646">
        <w:rPr>
          <w:b/>
          <w:bCs/>
        </w:rPr>
        <w:t>3.</w:t>
      </w:r>
      <w:r w:rsidR="00381008" w:rsidRPr="00BB3646">
        <w:rPr>
          <w:b/>
          <w:bCs/>
        </w:rPr>
        <w:t>6</w:t>
      </w:r>
      <w:r w:rsidRPr="00BB3646">
        <w:rPr>
          <w:b/>
          <w:bCs/>
        </w:rPr>
        <w:tab/>
        <w:t>Non-Monetary Contributions</w:t>
      </w:r>
    </w:p>
    <w:p w14:paraId="0690A164" w14:textId="5F0794B8" w:rsidR="00946F05" w:rsidRPr="000E2418" w:rsidRDefault="00946F05" w:rsidP="006A7A1D">
      <w:pPr>
        <w:spacing w:line="360" w:lineRule="auto"/>
        <w:jc w:val="both"/>
        <w:rPr>
          <w:bCs/>
        </w:rPr>
      </w:pPr>
      <w:r w:rsidRPr="00BB3646">
        <w:rPr>
          <w:bCs/>
        </w:rPr>
        <w:t xml:space="preserve">In some instances, financial contributions </w:t>
      </w:r>
      <w:r w:rsidR="00FA6B06" w:rsidRPr="00BB3646">
        <w:rPr>
          <w:bCs/>
        </w:rPr>
        <w:t>may not be</w:t>
      </w:r>
      <w:r w:rsidRPr="00BB3646">
        <w:rPr>
          <w:bCs/>
        </w:rPr>
        <w:t xml:space="preserve"> deemed necessary to mitigate against the imp</w:t>
      </w:r>
      <w:r w:rsidR="00FA6B06" w:rsidRPr="00BB3646">
        <w:rPr>
          <w:bCs/>
        </w:rPr>
        <w:t>acts of a development.</w:t>
      </w:r>
      <w:r w:rsidRPr="00BB3646">
        <w:rPr>
          <w:bCs/>
        </w:rPr>
        <w:t xml:space="preserve"> </w:t>
      </w:r>
      <w:r w:rsidR="000E2418" w:rsidRPr="00BB3646">
        <w:rPr>
          <w:bCs/>
        </w:rPr>
        <w:t>Instead,</w:t>
      </w:r>
      <w:r w:rsidRPr="00BB3646">
        <w:rPr>
          <w:bCs/>
        </w:rPr>
        <w:t xml:space="preserve"> it may be considered that the provision of on-site infrastructure such as Affordable Housing or, the agreement of future plans </w:t>
      </w:r>
      <w:r w:rsidRPr="000E2418">
        <w:rPr>
          <w:bCs/>
        </w:rPr>
        <w:t>such as local employment schemes</w:t>
      </w:r>
      <w:r w:rsidR="00FE5A53" w:rsidRPr="000E2418">
        <w:rPr>
          <w:bCs/>
        </w:rPr>
        <w:t xml:space="preserve"> </w:t>
      </w:r>
      <w:r w:rsidRPr="000E2418">
        <w:rPr>
          <w:bCs/>
        </w:rPr>
        <w:t>may be sufficient.</w:t>
      </w:r>
    </w:p>
    <w:p w14:paraId="2AD00651" w14:textId="098F1E02" w:rsidR="00716103" w:rsidRPr="00716103" w:rsidRDefault="00FE5A53" w:rsidP="006A7A1D">
      <w:pPr>
        <w:spacing w:line="360" w:lineRule="auto"/>
        <w:jc w:val="both"/>
        <w:rPr>
          <w:bCs/>
        </w:rPr>
      </w:pPr>
      <w:r w:rsidRPr="000E2418">
        <w:rPr>
          <w:bCs/>
        </w:rPr>
        <w:t>Table 1</w:t>
      </w:r>
      <w:r w:rsidR="00E722D5" w:rsidRPr="000E2418">
        <w:rPr>
          <w:bCs/>
        </w:rPr>
        <w:t>5</w:t>
      </w:r>
      <w:r w:rsidR="002869E2" w:rsidRPr="000E2418">
        <w:rPr>
          <w:bCs/>
        </w:rPr>
        <w:t xml:space="preserve"> details developments approved during the reporting year which include a provision to provide </w:t>
      </w:r>
      <w:r w:rsidRPr="000E2418">
        <w:rPr>
          <w:bCs/>
        </w:rPr>
        <w:t xml:space="preserve">Affordable Housing </w:t>
      </w:r>
      <w:r w:rsidR="002869E2" w:rsidRPr="000E2418">
        <w:rPr>
          <w:bCs/>
        </w:rPr>
        <w:t>on site.</w:t>
      </w:r>
    </w:p>
    <w:tbl>
      <w:tblPr>
        <w:tblStyle w:val="TableGrid"/>
        <w:tblW w:w="0" w:type="auto"/>
        <w:tblLook w:val="04A0" w:firstRow="1" w:lastRow="0" w:firstColumn="1" w:lastColumn="0" w:noHBand="0" w:noVBand="1"/>
        <w:tblCaption w:val="Table 15. Provision of Affordable Housing 2021/22"/>
        <w:tblDescription w:val="A detailed breakdown of Affordable Housing provision agreed during the financial year 2021/22."/>
      </w:tblPr>
      <w:tblGrid>
        <w:gridCol w:w="1964"/>
        <w:gridCol w:w="1523"/>
        <w:gridCol w:w="1765"/>
        <w:gridCol w:w="3674"/>
      </w:tblGrid>
      <w:tr w:rsidR="00205BDF" w:rsidRPr="00205BDF" w14:paraId="30FC919B" w14:textId="77777777" w:rsidTr="004D4B23">
        <w:trPr>
          <w:tblHeader/>
        </w:trPr>
        <w:tc>
          <w:tcPr>
            <w:tcW w:w="8926" w:type="dxa"/>
            <w:gridSpan w:val="4"/>
            <w:shd w:val="clear" w:color="auto" w:fill="000000" w:themeFill="text1"/>
          </w:tcPr>
          <w:p w14:paraId="66324136" w14:textId="07C61F8A" w:rsidR="00E722D5" w:rsidRPr="00205BDF" w:rsidRDefault="00E722D5" w:rsidP="00FE4ACD">
            <w:pPr>
              <w:rPr>
                <w:rFonts w:cs="Arial"/>
                <w:b/>
                <w:bCs/>
                <w:color w:val="FF0000"/>
                <w:lang w:eastAsia="en-GB"/>
              </w:rPr>
            </w:pPr>
            <w:r w:rsidRPr="00BB3646">
              <w:rPr>
                <w:rFonts w:cs="Arial"/>
                <w:b/>
                <w:bCs/>
                <w:lang w:eastAsia="en-GB"/>
              </w:rPr>
              <w:t>Table 15. Provision of Affordable Housing 202</w:t>
            </w:r>
            <w:r w:rsidR="00BB3646" w:rsidRPr="00BB3646">
              <w:rPr>
                <w:rFonts w:cs="Arial"/>
                <w:b/>
                <w:bCs/>
                <w:lang w:eastAsia="en-GB"/>
              </w:rPr>
              <w:t>2</w:t>
            </w:r>
            <w:r w:rsidRPr="00BB3646">
              <w:rPr>
                <w:rFonts w:cs="Arial"/>
                <w:b/>
                <w:bCs/>
                <w:lang w:eastAsia="en-GB"/>
              </w:rPr>
              <w:t>/2</w:t>
            </w:r>
            <w:r w:rsidR="00BB3646" w:rsidRPr="00BB3646">
              <w:rPr>
                <w:rFonts w:cs="Arial"/>
                <w:b/>
                <w:bCs/>
                <w:lang w:eastAsia="en-GB"/>
              </w:rPr>
              <w:t>3</w:t>
            </w:r>
          </w:p>
        </w:tc>
      </w:tr>
      <w:tr w:rsidR="00205BDF" w:rsidRPr="00205BDF" w14:paraId="191C7D23" w14:textId="77777777" w:rsidTr="00E4775B">
        <w:tc>
          <w:tcPr>
            <w:tcW w:w="1964" w:type="dxa"/>
            <w:shd w:val="clear" w:color="auto" w:fill="D9D9D9" w:themeFill="background1" w:themeFillShade="D9"/>
          </w:tcPr>
          <w:p w14:paraId="646AAABE" w14:textId="77777777" w:rsidR="00E722D5" w:rsidRPr="000E2418" w:rsidRDefault="00E722D5" w:rsidP="00FE4ACD">
            <w:pPr>
              <w:spacing w:line="360" w:lineRule="auto"/>
              <w:rPr>
                <w:b/>
                <w:bCs/>
              </w:rPr>
            </w:pPr>
            <w:r w:rsidRPr="000E2418">
              <w:rPr>
                <w:b/>
                <w:bCs/>
              </w:rPr>
              <w:t>Site Address</w:t>
            </w:r>
          </w:p>
        </w:tc>
        <w:tc>
          <w:tcPr>
            <w:tcW w:w="1523" w:type="dxa"/>
            <w:shd w:val="clear" w:color="auto" w:fill="D9D9D9" w:themeFill="background1" w:themeFillShade="D9"/>
          </w:tcPr>
          <w:p w14:paraId="6B252725" w14:textId="77777777" w:rsidR="00E722D5" w:rsidRPr="000E2418" w:rsidRDefault="00E722D5" w:rsidP="00FE4ACD">
            <w:pPr>
              <w:spacing w:line="360" w:lineRule="auto"/>
              <w:rPr>
                <w:b/>
                <w:bCs/>
              </w:rPr>
            </w:pPr>
            <w:r w:rsidRPr="000E2418">
              <w:rPr>
                <w:b/>
                <w:bCs/>
              </w:rPr>
              <w:t>Application Reference</w:t>
            </w:r>
          </w:p>
        </w:tc>
        <w:tc>
          <w:tcPr>
            <w:tcW w:w="1765" w:type="dxa"/>
            <w:shd w:val="clear" w:color="auto" w:fill="D9D9D9" w:themeFill="background1" w:themeFillShade="D9"/>
          </w:tcPr>
          <w:p w14:paraId="0B5B9468" w14:textId="77777777" w:rsidR="00E722D5" w:rsidRPr="000E2418" w:rsidRDefault="00E722D5" w:rsidP="00FE4ACD">
            <w:pPr>
              <w:spacing w:line="360" w:lineRule="auto"/>
              <w:rPr>
                <w:b/>
                <w:bCs/>
              </w:rPr>
            </w:pPr>
            <w:r w:rsidRPr="000E2418">
              <w:rPr>
                <w:rFonts w:cs="Arial"/>
                <w:b/>
                <w:bCs/>
                <w:lang w:eastAsia="en-GB"/>
              </w:rPr>
              <w:t>Date S106 Signed</w:t>
            </w:r>
          </w:p>
        </w:tc>
        <w:tc>
          <w:tcPr>
            <w:tcW w:w="3674" w:type="dxa"/>
            <w:shd w:val="clear" w:color="auto" w:fill="D9D9D9" w:themeFill="background1" w:themeFillShade="D9"/>
          </w:tcPr>
          <w:p w14:paraId="535904DD" w14:textId="77777777" w:rsidR="00E722D5" w:rsidRPr="000E2418" w:rsidRDefault="00E722D5" w:rsidP="00FE4ACD">
            <w:pPr>
              <w:spacing w:line="360" w:lineRule="auto"/>
              <w:rPr>
                <w:b/>
                <w:bCs/>
              </w:rPr>
            </w:pPr>
            <w:r w:rsidRPr="000E2418">
              <w:rPr>
                <w:rFonts w:cs="Arial"/>
                <w:b/>
                <w:lang w:eastAsia="en-GB"/>
              </w:rPr>
              <w:t>Affordable Housing Obligation</w:t>
            </w:r>
          </w:p>
        </w:tc>
      </w:tr>
      <w:tr w:rsidR="00205BDF" w:rsidRPr="00205BDF" w14:paraId="7A78705E" w14:textId="77777777" w:rsidTr="00E4775B">
        <w:tc>
          <w:tcPr>
            <w:tcW w:w="1964" w:type="dxa"/>
            <w:vAlign w:val="center"/>
          </w:tcPr>
          <w:p w14:paraId="04A86D97" w14:textId="2D340587" w:rsidR="00E722D5" w:rsidRPr="00205BDF" w:rsidRDefault="000E2418" w:rsidP="00FE4ACD">
            <w:pPr>
              <w:spacing w:line="360" w:lineRule="auto"/>
              <w:jc w:val="center"/>
              <w:rPr>
                <w:color w:val="FF0000"/>
              </w:rPr>
            </w:pPr>
            <w:r w:rsidRPr="001C3AEB">
              <w:lastRenderedPageBreak/>
              <w:t>73 Burton Road, Carlton, Nottingham</w:t>
            </w:r>
          </w:p>
        </w:tc>
        <w:tc>
          <w:tcPr>
            <w:tcW w:w="1523" w:type="dxa"/>
            <w:vAlign w:val="center"/>
          </w:tcPr>
          <w:p w14:paraId="4C80E264" w14:textId="468BC2A8" w:rsidR="00E722D5" w:rsidRPr="004B1EAA" w:rsidRDefault="000E2418" w:rsidP="00FE4ACD">
            <w:pPr>
              <w:spacing w:line="360" w:lineRule="auto"/>
              <w:jc w:val="center"/>
            </w:pPr>
            <w:r w:rsidRPr="004B1EAA">
              <w:t>2020/1254</w:t>
            </w:r>
          </w:p>
        </w:tc>
        <w:tc>
          <w:tcPr>
            <w:tcW w:w="1765" w:type="dxa"/>
            <w:vAlign w:val="center"/>
          </w:tcPr>
          <w:p w14:paraId="0779FA70" w14:textId="1E671D37" w:rsidR="00E722D5" w:rsidRPr="004B1EAA" w:rsidRDefault="004B1EAA" w:rsidP="00FE4ACD">
            <w:pPr>
              <w:spacing w:line="360" w:lineRule="auto"/>
              <w:jc w:val="center"/>
              <w:rPr>
                <w:rFonts w:cs="Arial"/>
                <w:lang w:eastAsia="en-GB"/>
              </w:rPr>
            </w:pPr>
            <w:r w:rsidRPr="004B1EAA">
              <w:rPr>
                <w:rFonts w:cs="Arial"/>
                <w:lang w:eastAsia="en-GB"/>
              </w:rPr>
              <w:t>16.06.2022</w:t>
            </w:r>
          </w:p>
        </w:tc>
        <w:tc>
          <w:tcPr>
            <w:tcW w:w="3674" w:type="dxa"/>
            <w:vAlign w:val="center"/>
          </w:tcPr>
          <w:p w14:paraId="45A588A8" w14:textId="62FC2C0F" w:rsidR="00E722D5" w:rsidRPr="004B1EAA" w:rsidRDefault="000E2418" w:rsidP="00FE4ACD">
            <w:pPr>
              <w:spacing w:line="360" w:lineRule="auto"/>
              <w:jc w:val="center"/>
              <w:rPr>
                <w:rFonts w:cs="Arial"/>
                <w:lang w:eastAsia="en-GB"/>
              </w:rPr>
            </w:pPr>
            <w:r w:rsidRPr="004B1EAA">
              <w:rPr>
                <w:spacing w:val="-3"/>
              </w:rPr>
              <w:t xml:space="preserve">Subject to Re-Assessment of Viability - A commuted sum equivalent to a policy compliant on-site affordable housing payable to Gedling Borough Council.  </w:t>
            </w:r>
          </w:p>
        </w:tc>
      </w:tr>
      <w:tr w:rsidR="00205BDF" w:rsidRPr="00205BDF" w14:paraId="6CF8D2F1" w14:textId="77777777" w:rsidTr="00E4775B">
        <w:tc>
          <w:tcPr>
            <w:tcW w:w="1964" w:type="dxa"/>
            <w:shd w:val="clear" w:color="auto" w:fill="D9D9D9" w:themeFill="background1" w:themeFillShade="D9"/>
            <w:vAlign w:val="center"/>
          </w:tcPr>
          <w:p w14:paraId="25C312CA" w14:textId="69729E98" w:rsidR="00E722D5" w:rsidRPr="00205BDF" w:rsidRDefault="004B1EAA" w:rsidP="00FE4ACD">
            <w:pPr>
              <w:spacing w:line="360" w:lineRule="auto"/>
              <w:jc w:val="center"/>
              <w:rPr>
                <w:color w:val="FF0000"/>
              </w:rPr>
            </w:pPr>
            <w:r w:rsidRPr="002F029C">
              <w:t>Land at Teal Close, Burton Joyce</w:t>
            </w:r>
          </w:p>
        </w:tc>
        <w:tc>
          <w:tcPr>
            <w:tcW w:w="1523" w:type="dxa"/>
            <w:shd w:val="clear" w:color="auto" w:fill="D9D9D9" w:themeFill="background1" w:themeFillShade="D9"/>
            <w:vAlign w:val="center"/>
          </w:tcPr>
          <w:p w14:paraId="47B4A1E1" w14:textId="0AFC1DAF" w:rsidR="00E722D5" w:rsidRPr="00205BDF" w:rsidRDefault="004B1EAA" w:rsidP="00FE4ACD">
            <w:pPr>
              <w:spacing w:line="360" w:lineRule="auto"/>
              <w:jc w:val="center"/>
              <w:rPr>
                <w:color w:val="FF0000"/>
              </w:rPr>
            </w:pPr>
            <w:r w:rsidRPr="002F029C">
              <w:t>2022/0432 (Deed of Variation)</w:t>
            </w:r>
          </w:p>
        </w:tc>
        <w:tc>
          <w:tcPr>
            <w:tcW w:w="1765" w:type="dxa"/>
            <w:shd w:val="clear" w:color="auto" w:fill="D9D9D9" w:themeFill="background1" w:themeFillShade="D9"/>
            <w:vAlign w:val="center"/>
          </w:tcPr>
          <w:p w14:paraId="77B30E0D" w14:textId="3671FABC" w:rsidR="00E722D5" w:rsidRPr="00205BDF" w:rsidRDefault="004B1EAA" w:rsidP="00FE4ACD">
            <w:pPr>
              <w:spacing w:line="360" w:lineRule="auto"/>
              <w:jc w:val="center"/>
              <w:rPr>
                <w:rFonts w:cs="Arial"/>
                <w:color w:val="FF0000"/>
                <w:lang w:eastAsia="en-GB"/>
              </w:rPr>
            </w:pPr>
            <w:r w:rsidRPr="004B1EAA">
              <w:rPr>
                <w:rFonts w:cs="Arial"/>
                <w:lang w:eastAsia="en-GB"/>
              </w:rPr>
              <w:t>12.08.2022</w:t>
            </w:r>
          </w:p>
        </w:tc>
        <w:tc>
          <w:tcPr>
            <w:tcW w:w="3674" w:type="dxa"/>
            <w:shd w:val="clear" w:color="auto" w:fill="D9D9D9" w:themeFill="background1" w:themeFillShade="D9"/>
            <w:vAlign w:val="center"/>
          </w:tcPr>
          <w:p w14:paraId="43AD5DEB" w14:textId="2059291B" w:rsidR="00E722D5" w:rsidRPr="00205BDF" w:rsidRDefault="004B1EAA" w:rsidP="00FE4ACD">
            <w:pPr>
              <w:spacing w:line="360" w:lineRule="auto"/>
              <w:jc w:val="center"/>
              <w:rPr>
                <w:color w:val="FF0000"/>
              </w:rPr>
            </w:pPr>
            <w:r>
              <w:rPr>
                <w:spacing w:val="-3"/>
              </w:rPr>
              <w:t>4 units of affordable housing provided as First Homes in perpetuity.</w:t>
            </w:r>
          </w:p>
        </w:tc>
      </w:tr>
      <w:tr w:rsidR="00205BDF" w:rsidRPr="00205BDF" w14:paraId="15513E27" w14:textId="77777777" w:rsidTr="00E4775B">
        <w:tc>
          <w:tcPr>
            <w:tcW w:w="1964" w:type="dxa"/>
            <w:shd w:val="clear" w:color="auto" w:fill="FFFFFF" w:themeFill="background1"/>
            <w:vAlign w:val="center"/>
          </w:tcPr>
          <w:p w14:paraId="041E2ADC" w14:textId="5DA34619" w:rsidR="00E722D5" w:rsidRPr="00205BDF" w:rsidRDefault="004B1EAA" w:rsidP="00FE4ACD">
            <w:pPr>
              <w:spacing w:line="360" w:lineRule="auto"/>
              <w:jc w:val="center"/>
              <w:rPr>
                <w:color w:val="FF0000"/>
              </w:rPr>
            </w:pPr>
            <w:r w:rsidRPr="004B1EAA">
              <w:t>Land Northwest of Park Road, Calverton, Nottingham</w:t>
            </w:r>
          </w:p>
        </w:tc>
        <w:tc>
          <w:tcPr>
            <w:tcW w:w="1523" w:type="dxa"/>
            <w:shd w:val="clear" w:color="auto" w:fill="FFFFFF" w:themeFill="background1"/>
            <w:vAlign w:val="center"/>
          </w:tcPr>
          <w:p w14:paraId="145EFDE3" w14:textId="357E45AB" w:rsidR="00E722D5" w:rsidRPr="00205BDF" w:rsidRDefault="004B1EAA" w:rsidP="00FE4ACD">
            <w:pPr>
              <w:spacing w:line="360" w:lineRule="auto"/>
              <w:jc w:val="center"/>
              <w:rPr>
                <w:color w:val="FF0000"/>
              </w:rPr>
            </w:pPr>
            <w:r w:rsidRPr="005D145D">
              <w:t>2021/0668</w:t>
            </w:r>
            <w:r>
              <w:t xml:space="preserve"> (Deed of Variation)</w:t>
            </w:r>
          </w:p>
        </w:tc>
        <w:tc>
          <w:tcPr>
            <w:tcW w:w="1765" w:type="dxa"/>
            <w:shd w:val="clear" w:color="auto" w:fill="FFFFFF" w:themeFill="background1"/>
            <w:vAlign w:val="center"/>
          </w:tcPr>
          <w:p w14:paraId="1B3E9747" w14:textId="290DD85C" w:rsidR="00E722D5" w:rsidRPr="004B1EAA" w:rsidRDefault="004B1EAA" w:rsidP="00FE4ACD">
            <w:pPr>
              <w:spacing w:line="360" w:lineRule="auto"/>
              <w:jc w:val="center"/>
              <w:rPr>
                <w:rFonts w:cs="Arial"/>
                <w:lang w:eastAsia="en-GB"/>
              </w:rPr>
            </w:pPr>
            <w:r>
              <w:rPr>
                <w:rFonts w:cs="Arial"/>
                <w:lang w:eastAsia="en-GB"/>
              </w:rPr>
              <w:t>30.01.2023</w:t>
            </w:r>
          </w:p>
        </w:tc>
        <w:tc>
          <w:tcPr>
            <w:tcW w:w="3674" w:type="dxa"/>
            <w:shd w:val="clear" w:color="auto" w:fill="FFFFFF" w:themeFill="background1"/>
            <w:vAlign w:val="center"/>
          </w:tcPr>
          <w:p w14:paraId="53C464E3" w14:textId="77777777" w:rsidR="004B1EAA" w:rsidRPr="004B1EAA" w:rsidRDefault="004B1EAA" w:rsidP="004B1EAA">
            <w:pPr>
              <w:spacing w:line="360" w:lineRule="auto"/>
              <w:jc w:val="center"/>
              <w:rPr>
                <w:rFonts w:cs="Arial"/>
                <w:lang w:eastAsia="en-GB"/>
              </w:rPr>
            </w:pPr>
            <w:r w:rsidRPr="004B1EAA">
              <w:rPr>
                <w:rFonts w:cs="Arial"/>
                <w:lang w:eastAsia="en-GB"/>
              </w:rPr>
              <w:t>-</w:t>
            </w:r>
            <w:r w:rsidRPr="004B1EAA">
              <w:rPr>
                <w:rFonts w:cs="Arial"/>
                <w:lang w:eastAsia="en-GB"/>
              </w:rPr>
              <w:tab/>
              <w:t>the definition of chargee has been amended and</w:t>
            </w:r>
          </w:p>
          <w:p w14:paraId="305F432A" w14:textId="7F670C66" w:rsidR="004B1EAA" w:rsidRPr="004B1EAA" w:rsidRDefault="004B1EAA" w:rsidP="004B1EAA">
            <w:pPr>
              <w:spacing w:line="360" w:lineRule="auto"/>
              <w:jc w:val="center"/>
              <w:rPr>
                <w:rFonts w:cs="Arial"/>
                <w:lang w:eastAsia="en-GB"/>
              </w:rPr>
            </w:pPr>
            <w:r w:rsidRPr="004B1EAA">
              <w:rPr>
                <w:rFonts w:cs="Arial"/>
                <w:lang w:eastAsia="en-GB"/>
              </w:rPr>
              <w:t>-</w:t>
            </w:r>
            <w:r w:rsidRPr="004B1EAA">
              <w:rPr>
                <w:rFonts w:cs="Arial"/>
                <w:lang w:eastAsia="en-GB"/>
              </w:rPr>
              <w:tab/>
              <w:t xml:space="preserve">where there is a default of an affordable housing provider’s securitisation of an affordable housing asset on this site: </w:t>
            </w:r>
          </w:p>
          <w:p w14:paraId="51A06EE9" w14:textId="77777777" w:rsidR="004B1EAA" w:rsidRPr="004B1EAA" w:rsidRDefault="004B1EAA" w:rsidP="004B1EAA">
            <w:pPr>
              <w:spacing w:line="360" w:lineRule="auto"/>
              <w:jc w:val="center"/>
              <w:rPr>
                <w:rFonts w:cs="Arial"/>
                <w:lang w:eastAsia="en-GB"/>
              </w:rPr>
            </w:pPr>
            <w:r w:rsidRPr="004B1EAA">
              <w:rPr>
                <w:rFonts w:cs="Arial"/>
                <w:lang w:eastAsia="en-GB"/>
              </w:rPr>
              <w:t>o</w:t>
            </w:r>
            <w:r w:rsidRPr="004B1EAA">
              <w:rPr>
                <w:rFonts w:cs="Arial"/>
                <w:lang w:eastAsia="en-GB"/>
              </w:rPr>
              <w:tab/>
              <w:t>the mortgagee/chargee on default can now obtain a sum from the sale of such property that not only covers the money outstanding under the charge or mortgage but now also recover their principal monies, interest and costs and expenses; and</w:t>
            </w:r>
          </w:p>
          <w:p w14:paraId="2E267B34" w14:textId="12CBB385" w:rsidR="00E722D5" w:rsidRPr="004B1EAA" w:rsidRDefault="004B1EAA" w:rsidP="004B1EAA">
            <w:pPr>
              <w:spacing w:line="360" w:lineRule="auto"/>
              <w:jc w:val="center"/>
              <w:rPr>
                <w:rFonts w:cs="Arial"/>
                <w:lang w:eastAsia="en-GB"/>
              </w:rPr>
            </w:pPr>
            <w:r w:rsidRPr="004B1EAA">
              <w:rPr>
                <w:rFonts w:cs="Arial"/>
                <w:lang w:eastAsia="en-GB"/>
              </w:rPr>
              <w:t>o</w:t>
            </w:r>
            <w:r w:rsidRPr="004B1EAA">
              <w:rPr>
                <w:rFonts w:cs="Arial"/>
                <w:lang w:eastAsia="en-GB"/>
              </w:rPr>
              <w:tab/>
              <w:t xml:space="preserve">the Council now has 3 months from receipt of a notice from a chargee of an intention to dispose of affordable housing, to secure its own transfer of the property to secure it as affordable housing, this has been reduced from 4 months.  </w:t>
            </w:r>
          </w:p>
        </w:tc>
      </w:tr>
    </w:tbl>
    <w:p w14:paraId="1F639117" w14:textId="77777777" w:rsidR="004D5567" w:rsidRPr="00205BDF" w:rsidRDefault="004D5567" w:rsidP="006A7A1D">
      <w:pPr>
        <w:spacing w:line="360" w:lineRule="auto"/>
        <w:jc w:val="both"/>
        <w:rPr>
          <w:bCs/>
          <w:color w:val="FF0000"/>
        </w:rPr>
      </w:pPr>
    </w:p>
    <w:p w14:paraId="6E9E7D50" w14:textId="527ED844" w:rsidR="004D5567" w:rsidRPr="00BB3646" w:rsidRDefault="00E722D5" w:rsidP="006A7A1D">
      <w:pPr>
        <w:spacing w:line="360" w:lineRule="auto"/>
        <w:jc w:val="both"/>
        <w:rPr>
          <w:bCs/>
        </w:rPr>
      </w:pPr>
      <w:r w:rsidRPr="00BB3646">
        <w:rPr>
          <w:bCs/>
        </w:rPr>
        <w:lastRenderedPageBreak/>
        <w:t xml:space="preserve">Where appropriate, Section 106 Agreements also </w:t>
      </w:r>
      <w:r w:rsidR="004D5567" w:rsidRPr="00BB3646">
        <w:rPr>
          <w:bCs/>
        </w:rPr>
        <w:t xml:space="preserve">create </w:t>
      </w:r>
      <w:r w:rsidRPr="00BB3646">
        <w:rPr>
          <w:bCs/>
        </w:rPr>
        <w:t xml:space="preserve">opportunities to work with developers to </w:t>
      </w:r>
      <w:r w:rsidR="004D5567" w:rsidRPr="00BB3646">
        <w:rPr>
          <w:bCs/>
        </w:rPr>
        <w:t>ensure that, as well as providing a safe and attractive place to live for local residents to live, developments can provide a chance to support and improve the lives of our local residents by agreeing Employment and Skills Plans, also known as Local Labour Agreements. Through these Employment and Skills Plans it is possible to increase workplace opportunities for local residents and involve our younger communities to increase skill sets and education.</w:t>
      </w:r>
    </w:p>
    <w:p w14:paraId="448856D0" w14:textId="5ACB91A2" w:rsidR="00381008" w:rsidRPr="007B0740" w:rsidRDefault="004D5567" w:rsidP="006A7A1D">
      <w:pPr>
        <w:spacing w:line="360" w:lineRule="auto"/>
        <w:jc w:val="both"/>
        <w:rPr>
          <w:bCs/>
        </w:rPr>
      </w:pPr>
      <w:r w:rsidRPr="007B0740">
        <w:rPr>
          <w:bCs/>
        </w:rPr>
        <w:t xml:space="preserve">Of the Section 106 </w:t>
      </w:r>
      <w:r w:rsidR="00E4775B" w:rsidRPr="007B0740">
        <w:rPr>
          <w:bCs/>
        </w:rPr>
        <w:t xml:space="preserve">Agreements completed in </w:t>
      </w:r>
      <w:r w:rsidR="00A4343E" w:rsidRPr="007B0740">
        <w:rPr>
          <w:bCs/>
        </w:rPr>
        <w:t>20</w:t>
      </w:r>
      <w:r w:rsidR="00E4775B" w:rsidRPr="007B0740">
        <w:rPr>
          <w:bCs/>
        </w:rPr>
        <w:t>2</w:t>
      </w:r>
      <w:r w:rsidR="007B0740" w:rsidRPr="007B0740">
        <w:rPr>
          <w:bCs/>
        </w:rPr>
        <w:t>2</w:t>
      </w:r>
      <w:r w:rsidR="00E4775B" w:rsidRPr="007B0740">
        <w:rPr>
          <w:bCs/>
        </w:rPr>
        <w:t>/2</w:t>
      </w:r>
      <w:r w:rsidR="007B0740" w:rsidRPr="007B0740">
        <w:rPr>
          <w:bCs/>
        </w:rPr>
        <w:t>3</w:t>
      </w:r>
      <w:r w:rsidR="00E4775B" w:rsidRPr="007B0740">
        <w:rPr>
          <w:bCs/>
        </w:rPr>
        <w:t xml:space="preserve">, </w:t>
      </w:r>
      <w:r w:rsidR="007B0740" w:rsidRPr="007B0740">
        <w:rPr>
          <w:bCs/>
        </w:rPr>
        <w:t>three</w:t>
      </w:r>
      <w:r w:rsidRPr="007B0740">
        <w:rPr>
          <w:bCs/>
        </w:rPr>
        <w:t xml:space="preserve"> included a requirement to submit an Employment and Skills Plan</w:t>
      </w:r>
      <w:r w:rsidR="007B0740" w:rsidRPr="007B0740">
        <w:rPr>
          <w:bCs/>
        </w:rPr>
        <w:t xml:space="preserve"> / Local Labour Agreement</w:t>
      </w:r>
      <w:r w:rsidRPr="007B0740">
        <w:rPr>
          <w:bCs/>
        </w:rPr>
        <w:t xml:space="preserve"> to the Local Planning Authority for signing off. </w:t>
      </w:r>
      <w:r w:rsidR="00381008" w:rsidRPr="007B0740">
        <w:rPr>
          <w:bCs/>
        </w:rPr>
        <w:t>Table 1</w:t>
      </w:r>
      <w:r w:rsidRPr="007B0740">
        <w:rPr>
          <w:bCs/>
        </w:rPr>
        <w:t>6</w:t>
      </w:r>
      <w:r w:rsidR="00F96DF5" w:rsidRPr="007B0740">
        <w:rPr>
          <w:bCs/>
        </w:rPr>
        <w:t xml:space="preserve"> details</w:t>
      </w:r>
      <w:r w:rsidR="00381008" w:rsidRPr="007B0740">
        <w:rPr>
          <w:bCs/>
        </w:rPr>
        <w:t xml:space="preserve"> </w:t>
      </w:r>
      <w:r w:rsidR="00F96DF5" w:rsidRPr="007B0740">
        <w:rPr>
          <w:bCs/>
        </w:rPr>
        <w:t xml:space="preserve">the </w:t>
      </w:r>
      <w:r w:rsidR="00381008" w:rsidRPr="007B0740">
        <w:rPr>
          <w:bCs/>
        </w:rPr>
        <w:t>developments w</w:t>
      </w:r>
      <w:r w:rsidR="00F96DF5" w:rsidRPr="007B0740">
        <w:rPr>
          <w:bCs/>
        </w:rPr>
        <w:t xml:space="preserve">hich require such obligations. </w:t>
      </w:r>
    </w:p>
    <w:tbl>
      <w:tblPr>
        <w:tblW w:w="8823" w:type="dxa"/>
        <w:tblInd w:w="98" w:type="dxa"/>
        <w:tblLook w:val="04A0" w:firstRow="1" w:lastRow="0" w:firstColumn="1" w:lastColumn="0" w:noHBand="0" w:noVBand="1"/>
      </w:tblPr>
      <w:tblGrid>
        <w:gridCol w:w="5421"/>
        <w:gridCol w:w="3402"/>
      </w:tblGrid>
      <w:tr w:rsidR="00205BDF" w:rsidRPr="00205BDF" w14:paraId="60690BC5" w14:textId="77777777" w:rsidTr="007B0740">
        <w:trPr>
          <w:trHeight w:val="615"/>
        </w:trPr>
        <w:tc>
          <w:tcPr>
            <w:tcW w:w="8823" w:type="dxa"/>
            <w:gridSpan w:val="2"/>
            <w:tcBorders>
              <w:top w:val="single" w:sz="8" w:space="0" w:color="auto"/>
              <w:left w:val="single" w:sz="8" w:space="0" w:color="auto"/>
              <w:bottom w:val="single" w:sz="4" w:space="0" w:color="auto"/>
              <w:right w:val="single" w:sz="8" w:space="0" w:color="auto"/>
            </w:tcBorders>
            <w:shd w:val="clear" w:color="auto" w:fill="000000" w:themeFill="text1"/>
            <w:vAlign w:val="center"/>
          </w:tcPr>
          <w:p w14:paraId="494E6AEE" w14:textId="2C902A48" w:rsidR="00381008" w:rsidRPr="00205BDF" w:rsidRDefault="00381008" w:rsidP="00E4775B">
            <w:pPr>
              <w:spacing w:after="0"/>
              <w:rPr>
                <w:rFonts w:cs="Arial"/>
                <w:b/>
                <w:bCs/>
                <w:color w:val="FF0000"/>
                <w:lang w:eastAsia="en-GB"/>
              </w:rPr>
            </w:pPr>
            <w:r w:rsidRPr="00BB3646">
              <w:rPr>
                <w:rFonts w:cs="Arial"/>
                <w:b/>
                <w:bCs/>
                <w:lang w:eastAsia="en-GB"/>
              </w:rPr>
              <w:t>Table 1</w:t>
            </w:r>
            <w:r w:rsidR="004D5567" w:rsidRPr="00BB3646">
              <w:rPr>
                <w:rFonts w:cs="Arial"/>
                <w:b/>
                <w:bCs/>
                <w:lang w:eastAsia="en-GB"/>
              </w:rPr>
              <w:t>6</w:t>
            </w:r>
            <w:r w:rsidRPr="00BB3646">
              <w:rPr>
                <w:rFonts w:cs="Arial"/>
                <w:b/>
                <w:bCs/>
                <w:lang w:eastAsia="en-GB"/>
              </w:rPr>
              <w:t>. Employment and Skills Plans Agreed 20</w:t>
            </w:r>
            <w:r w:rsidR="002514BC" w:rsidRPr="00BB3646">
              <w:rPr>
                <w:rFonts w:cs="Arial"/>
                <w:b/>
                <w:bCs/>
                <w:lang w:eastAsia="en-GB"/>
              </w:rPr>
              <w:t>2</w:t>
            </w:r>
            <w:r w:rsidR="00BB3646" w:rsidRPr="00BB3646">
              <w:rPr>
                <w:rFonts w:cs="Arial"/>
                <w:b/>
                <w:bCs/>
                <w:lang w:eastAsia="en-GB"/>
              </w:rPr>
              <w:t>2</w:t>
            </w:r>
            <w:r w:rsidR="002514BC" w:rsidRPr="00BB3646">
              <w:rPr>
                <w:rFonts w:cs="Arial"/>
                <w:b/>
                <w:bCs/>
                <w:lang w:eastAsia="en-GB"/>
              </w:rPr>
              <w:t>/2</w:t>
            </w:r>
            <w:r w:rsidR="00BB3646" w:rsidRPr="00BB3646">
              <w:rPr>
                <w:rFonts w:cs="Arial"/>
                <w:b/>
                <w:bCs/>
                <w:lang w:eastAsia="en-GB"/>
              </w:rPr>
              <w:t>3</w:t>
            </w:r>
          </w:p>
        </w:tc>
      </w:tr>
      <w:tr w:rsidR="00205BDF" w:rsidRPr="00205BDF" w14:paraId="39B66A76" w14:textId="77777777" w:rsidTr="007B0740">
        <w:trPr>
          <w:trHeight w:val="615"/>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F56034" w14:textId="77777777" w:rsidR="00F96DF5" w:rsidRPr="007B0740" w:rsidRDefault="00F96DF5" w:rsidP="007B0740">
            <w:pPr>
              <w:spacing w:after="0"/>
              <w:jc w:val="center"/>
              <w:rPr>
                <w:rFonts w:cs="Arial"/>
                <w:lang w:eastAsia="en-GB"/>
              </w:rPr>
            </w:pPr>
            <w:r w:rsidRPr="007B0740">
              <w:rPr>
                <w:rFonts w:cs="Arial"/>
                <w:b/>
                <w:bCs/>
                <w:lang w:eastAsia="en-GB"/>
              </w:rPr>
              <w:t>Site</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788A5A" w14:textId="77777777" w:rsidR="00F96DF5" w:rsidRPr="007B0740" w:rsidRDefault="00F96DF5" w:rsidP="007B0740">
            <w:pPr>
              <w:spacing w:after="0"/>
              <w:jc w:val="center"/>
              <w:rPr>
                <w:rFonts w:cs="Arial"/>
                <w:lang w:eastAsia="en-GB"/>
              </w:rPr>
            </w:pPr>
            <w:r w:rsidRPr="007B0740">
              <w:rPr>
                <w:rFonts w:cs="Arial"/>
                <w:b/>
                <w:bCs/>
                <w:lang w:eastAsia="en-GB"/>
              </w:rPr>
              <w:t>Date S106 Signed</w:t>
            </w:r>
          </w:p>
        </w:tc>
      </w:tr>
      <w:tr w:rsidR="00205BDF" w:rsidRPr="00205BDF" w14:paraId="4A77BF96" w14:textId="77777777" w:rsidTr="007B0740">
        <w:trPr>
          <w:trHeight w:val="585"/>
        </w:trPr>
        <w:tc>
          <w:tcPr>
            <w:tcW w:w="5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3378EC" w14:textId="1995847A" w:rsidR="00E50FD9" w:rsidRPr="007B0740" w:rsidRDefault="007B0740" w:rsidP="007B0740">
            <w:pPr>
              <w:spacing w:after="0"/>
              <w:jc w:val="center"/>
            </w:pPr>
            <w:r w:rsidRPr="007B0740">
              <w:t>73 Burton Road, Carlton, Nottingham</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B2FBEF" w14:textId="15E025A8" w:rsidR="00E50FD9" w:rsidRPr="007B0740" w:rsidRDefault="007B0740" w:rsidP="007B0740">
            <w:pPr>
              <w:spacing w:after="0"/>
              <w:jc w:val="center"/>
              <w:rPr>
                <w:rFonts w:cs="Arial"/>
                <w:lang w:eastAsia="en-GB"/>
              </w:rPr>
            </w:pPr>
            <w:r w:rsidRPr="007B0740">
              <w:rPr>
                <w:rFonts w:cs="Arial"/>
                <w:bCs/>
                <w:lang w:eastAsia="en-GB"/>
              </w:rPr>
              <w:t>16</w:t>
            </w:r>
            <w:r w:rsidR="00E4775B" w:rsidRPr="007B0740">
              <w:rPr>
                <w:rFonts w:cs="Arial"/>
                <w:bCs/>
                <w:lang w:eastAsia="en-GB"/>
              </w:rPr>
              <w:t>.</w:t>
            </w:r>
            <w:r w:rsidRPr="007B0740">
              <w:rPr>
                <w:rFonts w:cs="Arial"/>
                <w:bCs/>
                <w:lang w:eastAsia="en-GB"/>
              </w:rPr>
              <w:t>06</w:t>
            </w:r>
            <w:r w:rsidR="00E4775B" w:rsidRPr="007B0740">
              <w:rPr>
                <w:rFonts w:cs="Arial"/>
                <w:bCs/>
                <w:lang w:eastAsia="en-GB"/>
              </w:rPr>
              <w:t>.202</w:t>
            </w:r>
            <w:r w:rsidRPr="007B0740">
              <w:rPr>
                <w:rFonts w:cs="Arial"/>
                <w:bCs/>
                <w:lang w:eastAsia="en-GB"/>
              </w:rPr>
              <w:t>2</w:t>
            </w:r>
          </w:p>
        </w:tc>
      </w:tr>
      <w:tr w:rsidR="00205BDF" w:rsidRPr="00205BDF" w14:paraId="32ABDBA3" w14:textId="77777777" w:rsidTr="007B0740">
        <w:trPr>
          <w:trHeight w:val="315"/>
        </w:trPr>
        <w:tc>
          <w:tcPr>
            <w:tcW w:w="5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2D4C3E" w14:textId="44768AA4" w:rsidR="00E50FD9" w:rsidRPr="00205BDF" w:rsidRDefault="007B0740" w:rsidP="007B0740">
            <w:pPr>
              <w:spacing w:after="0"/>
              <w:jc w:val="center"/>
              <w:rPr>
                <w:color w:val="FF0000"/>
              </w:rPr>
            </w:pPr>
            <w:r w:rsidRPr="002F029C">
              <w:t>53 Woodthorpe Drive, Woodthorpe, Nottingham</w:t>
            </w:r>
          </w:p>
        </w:tc>
        <w:tc>
          <w:tcPr>
            <w:tcW w:w="3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2C3BB" w14:textId="41E6EA54" w:rsidR="00E50FD9" w:rsidRPr="00205BDF" w:rsidRDefault="00E4775B" w:rsidP="007B0740">
            <w:pPr>
              <w:jc w:val="center"/>
              <w:rPr>
                <w:rFonts w:cs="Arial"/>
                <w:color w:val="FF0000"/>
                <w:lang w:eastAsia="en-GB"/>
              </w:rPr>
            </w:pPr>
            <w:r w:rsidRPr="007B0740">
              <w:rPr>
                <w:rFonts w:cs="Arial"/>
                <w:bCs/>
                <w:lang w:eastAsia="en-GB"/>
              </w:rPr>
              <w:t>11.0</w:t>
            </w:r>
            <w:r w:rsidR="007B0740" w:rsidRPr="007B0740">
              <w:rPr>
                <w:rFonts w:cs="Arial"/>
                <w:bCs/>
                <w:lang w:eastAsia="en-GB"/>
              </w:rPr>
              <w:t>7</w:t>
            </w:r>
            <w:r w:rsidRPr="007B0740">
              <w:rPr>
                <w:rFonts w:cs="Arial"/>
                <w:bCs/>
                <w:lang w:eastAsia="en-GB"/>
              </w:rPr>
              <w:t>.202</w:t>
            </w:r>
            <w:r w:rsidR="007B0740" w:rsidRPr="007B0740">
              <w:rPr>
                <w:rFonts w:cs="Arial"/>
                <w:bCs/>
                <w:lang w:eastAsia="en-GB"/>
              </w:rPr>
              <w:t>2</w:t>
            </w:r>
          </w:p>
        </w:tc>
      </w:tr>
      <w:tr w:rsidR="00205BDF" w:rsidRPr="00205BDF" w14:paraId="5EEBA934" w14:textId="77777777" w:rsidTr="007B0740">
        <w:trPr>
          <w:trHeight w:val="315"/>
        </w:trPr>
        <w:tc>
          <w:tcPr>
            <w:tcW w:w="54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F47E05" w14:textId="147CDC68" w:rsidR="00E50FD9" w:rsidRPr="007B0740" w:rsidRDefault="007B0740" w:rsidP="007B0740">
            <w:pPr>
              <w:spacing w:line="360" w:lineRule="auto"/>
              <w:jc w:val="center"/>
            </w:pPr>
            <w:r w:rsidRPr="007B0740">
              <w:t>Netherfield Methodist Church, Victoria Road, Netherfield, Nottinghamshire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936DE5" w14:textId="678CE8AD" w:rsidR="00E50FD9" w:rsidRPr="007B0740" w:rsidRDefault="00E4775B" w:rsidP="007B0740">
            <w:pPr>
              <w:jc w:val="center"/>
              <w:rPr>
                <w:rFonts w:cs="Arial"/>
                <w:bCs/>
                <w:lang w:eastAsia="en-GB"/>
              </w:rPr>
            </w:pPr>
            <w:r w:rsidRPr="007B0740">
              <w:rPr>
                <w:rFonts w:cs="Arial"/>
                <w:bCs/>
                <w:lang w:eastAsia="en-GB"/>
              </w:rPr>
              <w:t>07</w:t>
            </w:r>
            <w:r w:rsidR="007B0740" w:rsidRPr="007B0740">
              <w:rPr>
                <w:rFonts w:cs="Arial"/>
                <w:bCs/>
                <w:lang w:eastAsia="en-GB"/>
              </w:rPr>
              <w:t>.11.</w:t>
            </w:r>
            <w:r w:rsidRPr="007B0740">
              <w:rPr>
                <w:rFonts w:cs="Arial"/>
                <w:bCs/>
                <w:lang w:eastAsia="en-GB"/>
              </w:rPr>
              <w:t>202</w:t>
            </w:r>
            <w:r w:rsidR="007B0740" w:rsidRPr="007B0740">
              <w:rPr>
                <w:rFonts w:cs="Arial"/>
                <w:bCs/>
                <w:lang w:eastAsia="en-GB"/>
              </w:rPr>
              <w:t>2</w:t>
            </w:r>
          </w:p>
        </w:tc>
      </w:tr>
    </w:tbl>
    <w:p w14:paraId="58CDEC3E" w14:textId="43F99871" w:rsidR="00ED720C" w:rsidRPr="00205BDF" w:rsidRDefault="00ED720C" w:rsidP="00406C04">
      <w:pPr>
        <w:pStyle w:val="NoSpacing"/>
        <w:rPr>
          <w:color w:val="FF0000"/>
        </w:rPr>
      </w:pPr>
    </w:p>
    <w:p w14:paraId="7CE221EC" w14:textId="58589909" w:rsidR="002869E2" w:rsidRPr="00BB3646" w:rsidRDefault="002869E2" w:rsidP="006A7A1D">
      <w:pPr>
        <w:spacing w:line="360" w:lineRule="auto"/>
        <w:jc w:val="both"/>
        <w:rPr>
          <w:b/>
          <w:bCs/>
        </w:rPr>
      </w:pPr>
      <w:r w:rsidRPr="00BB3646">
        <w:rPr>
          <w:b/>
          <w:bCs/>
        </w:rPr>
        <w:t>3.7</w:t>
      </w:r>
      <w:r w:rsidRPr="00BB3646">
        <w:rPr>
          <w:b/>
          <w:bCs/>
        </w:rPr>
        <w:tab/>
        <w:t>Monies Borrowed</w:t>
      </w:r>
    </w:p>
    <w:p w14:paraId="66088994" w14:textId="42CB30D4" w:rsidR="00863A79" w:rsidRPr="00BB3646" w:rsidRDefault="002869E2" w:rsidP="006A7A1D">
      <w:pPr>
        <w:spacing w:line="360" w:lineRule="auto"/>
        <w:jc w:val="both"/>
        <w:rPr>
          <w:bCs/>
        </w:rPr>
      </w:pPr>
      <w:r w:rsidRPr="00BB3646">
        <w:rPr>
          <w:bCs/>
        </w:rPr>
        <w:t>No S</w:t>
      </w:r>
      <w:r w:rsidR="00CC7E00" w:rsidRPr="00BB3646">
        <w:rPr>
          <w:bCs/>
        </w:rPr>
        <w:t xml:space="preserve">ection </w:t>
      </w:r>
      <w:r w:rsidRPr="00BB3646">
        <w:rPr>
          <w:bCs/>
        </w:rPr>
        <w:t xml:space="preserve">106 monies were spent repaying money borrowed during the financial year </w:t>
      </w:r>
      <w:r w:rsidR="00863A79" w:rsidRPr="00BB3646">
        <w:rPr>
          <w:bCs/>
        </w:rPr>
        <w:t>202</w:t>
      </w:r>
      <w:r w:rsidR="00BB3646">
        <w:rPr>
          <w:bCs/>
        </w:rPr>
        <w:t>2</w:t>
      </w:r>
      <w:r w:rsidR="00863A79" w:rsidRPr="00BB3646">
        <w:rPr>
          <w:bCs/>
        </w:rPr>
        <w:t>/2</w:t>
      </w:r>
      <w:r w:rsidR="00BB3646">
        <w:rPr>
          <w:bCs/>
        </w:rPr>
        <w:t>3</w:t>
      </w:r>
      <w:r w:rsidRPr="00BB3646">
        <w:rPr>
          <w:bCs/>
        </w:rPr>
        <w:t>.</w:t>
      </w:r>
    </w:p>
    <w:p w14:paraId="5CB32D6D" w14:textId="3F85347F" w:rsidR="00B20278" w:rsidRPr="00BB3646" w:rsidRDefault="00E0072E" w:rsidP="006A7A1D">
      <w:pPr>
        <w:jc w:val="both"/>
        <w:rPr>
          <w:b/>
          <w:bCs/>
        </w:rPr>
      </w:pPr>
      <w:r w:rsidRPr="00BB3646">
        <w:rPr>
          <w:b/>
          <w:bCs/>
        </w:rPr>
        <w:t>4</w:t>
      </w:r>
      <w:r w:rsidR="00B20278" w:rsidRPr="00BB3646">
        <w:rPr>
          <w:b/>
          <w:bCs/>
        </w:rPr>
        <w:tab/>
      </w:r>
      <w:r w:rsidR="00F100CC" w:rsidRPr="00BB3646">
        <w:rPr>
          <w:b/>
          <w:bCs/>
        </w:rPr>
        <w:t>GOING FORWARD – PLANNED EXPENDITURE</w:t>
      </w:r>
    </w:p>
    <w:p w14:paraId="0E30B079" w14:textId="0A132BC5" w:rsidR="00F100CC" w:rsidRPr="00BB3646" w:rsidRDefault="00F100CC" w:rsidP="006A7A1D">
      <w:pPr>
        <w:spacing w:line="360" w:lineRule="auto"/>
        <w:jc w:val="both"/>
      </w:pPr>
      <w:r w:rsidRPr="00BB3646">
        <w:t xml:space="preserve">In accordance with the latest amendments to the CIL Regulations, the IFS </w:t>
      </w:r>
      <w:r w:rsidR="00E2382C" w:rsidRPr="00BB3646">
        <w:t xml:space="preserve">outlines the </w:t>
      </w:r>
      <w:r w:rsidRPr="00BB3646">
        <w:t>future priorities in terms of expenditure over the next reporting period (202</w:t>
      </w:r>
      <w:r w:rsidR="00BB3646" w:rsidRPr="00BB3646">
        <w:t>3</w:t>
      </w:r>
      <w:r w:rsidRPr="00BB3646">
        <w:t>/2</w:t>
      </w:r>
      <w:r w:rsidR="00BB3646" w:rsidRPr="00BB3646">
        <w:t>4</w:t>
      </w:r>
      <w:r w:rsidRPr="00BB3646">
        <w:t>).</w:t>
      </w:r>
      <w:r w:rsidR="002431C0" w:rsidRPr="00BB3646">
        <w:t xml:space="preserve"> </w:t>
      </w:r>
    </w:p>
    <w:p w14:paraId="2867B02B" w14:textId="13645418" w:rsidR="00C979CF" w:rsidRPr="00BB3646" w:rsidRDefault="00C979CF" w:rsidP="006A7A1D">
      <w:pPr>
        <w:spacing w:line="360" w:lineRule="auto"/>
        <w:jc w:val="both"/>
      </w:pPr>
      <w:r w:rsidRPr="00BB3646">
        <w:t xml:space="preserve">The amount of CIL receipts generated in any given financial year is dependent upon the implementation of planning permissions and phasing of developments. Whilst it is possible to calculate the amount of CIL receipts expected through the totalling of Liability Notices generated, this will only ever be a theoretical figure as payment only becomes due upon the commencement of development. </w:t>
      </w:r>
    </w:p>
    <w:p w14:paraId="062A4A10" w14:textId="7EEB07EC" w:rsidR="00F100CC" w:rsidRPr="00BB3646" w:rsidRDefault="00F100CC" w:rsidP="006A7A1D">
      <w:pPr>
        <w:spacing w:line="360" w:lineRule="auto"/>
        <w:jc w:val="both"/>
      </w:pPr>
      <w:r w:rsidRPr="00BB3646">
        <w:lastRenderedPageBreak/>
        <w:t xml:space="preserve">Contributions generated through Section 106 Agreements must be spent in accordance with the </w:t>
      </w:r>
      <w:r w:rsidR="00CD12AD" w:rsidRPr="00BB3646">
        <w:t>terms</w:t>
      </w:r>
      <w:r w:rsidRPr="00BB3646">
        <w:t xml:space="preserve"> set out within each Agreement (as negotiated during the planning application process). </w:t>
      </w:r>
      <w:r w:rsidR="00AA28AB" w:rsidRPr="00BB3646">
        <w:t xml:space="preserve">These </w:t>
      </w:r>
      <w:r w:rsidR="00CD12AD" w:rsidRPr="00BB3646">
        <w:t>terms</w:t>
      </w:r>
      <w:r w:rsidR="00AA28AB" w:rsidRPr="00BB3646">
        <w:t xml:space="preserve"> will often have several trigger points, such as number of residential units occupied, which will cause the payment to become due. </w:t>
      </w:r>
      <w:r w:rsidRPr="00BB3646">
        <w:t xml:space="preserve">In this way, funding obtained through Section 106 agreements are heavily </w:t>
      </w:r>
      <w:r w:rsidR="002431C0" w:rsidRPr="00BB3646">
        <w:t>reliant</w:t>
      </w:r>
      <w:r w:rsidRPr="00BB3646">
        <w:t xml:space="preserve"> upon the phasing and delivery of </w:t>
      </w:r>
      <w:r w:rsidR="00AA28AB" w:rsidRPr="00BB3646">
        <w:t>development and can vary greatly on a site by site basis, making it difficult to accurately forecast future income.</w:t>
      </w:r>
    </w:p>
    <w:p w14:paraId="52B3041A" w14:textId="7DF12787" w:rsidR="00C979CF" w:rsidRPr="00EB21D2" w:rsidRDefault="00C979CF" w:rsidP="006A7A1D">
      <w:pPr>
        <w:spacing w:line="360" w:lineRule="auto"/>
        <w:jc w:val="both"/>
        <w:rPr>
          <w:b/>
          <w:bCs/>
        </w:rPr>
      </w:pPr>
      <w:r w:rsidRPr="00EB21D2">
        <w:rPr>
          <w:b/>
          <w:bCs/>
        </w:rPr>
        <w:t>4.1</w:t>
      </w:r>
      <w:r w:rsidRPr="00EB21D2">
        <w:rPr>
          <w:b/>
          <w:bCs/>
        </w:rPr>
        <w:tab/>
        <w:t>Strategic CIL</w:t>
      </w:r>
    </w:p>
    <w:p w14:paraId="5B939639" w14:textId="079A3996" w:rsidR="00ED720C" w:rsidRPr="00EB21D2" w:rsidRDefault="002431C0" w:rsidP="006A7A1D">
      <w:pPr>
        <w:spacing w:line="360" w:lineRule="auto"/>
        <w:jc w:val="both"/>
      </w:pPr>
      <w:r w:rsidRPr="00EB21D2">
        <w:t>Since Gedling Borough Council</w:t>
      </w:r>
      <w:r w:rsidR="007642C7" w:rsidRPr="00EB21D2">
        <w:t xml:space="preserve"> first</w:t>
      </w:r>
      <w:r w:rsidRPr="00EB21D2">
        <w:t xml:space="preserve"> adopted the CIL in 2015 the Strategic portion of CIL Receipts ha</w:t>
      </w:r>
      <w:r w:rsidR="007642C7" w:rsidRPr="00EB21D2">
        <w:t>ve</w:t>
      </w:r>
      <w:r w:rsidRPr="00EB21D2">
        <w:t xml:space="preserve"> been </w:t>
      </w:r>
      <w:r w:rsidR="00262955" w:rsidRPr="00EB21D2">
        <w:t>ring-fenced</w:t>
      </w:r>
      <w:r w:rsidR="007642C7" w:rsidRPr="00EB21D2">
        <w:t xml:space="preserve"> for the </w:t>
      </w:r>
      <w:r w:rsidRPr="00EB21D2">
        <w:t xml:space="preserve">provision of the Gedling Access Road (GAR). </w:t>
      </w:r>
      <w:r w:rsidR="007642C7" w:rsidRPr="00EB21D2">
        <w:t>The GAR remains a vital piece of infrastructure to support</w:t>
      </w:r>
      <w:r w:rsidR="00CD12AD" w:rsidRPr="00EB21D2">
        <w:t xml:space="preserve"> growth in the area</w:t>
      </w:r>
      <w:r w:rsidR="007642C7" w:rsidRPr="00EB21D2">
        <w:t xml:space="preserve"> </w:t>
      </w:r>
      <w:r w:rsidR="00396C6D" w:rsidRPr="00EB21D2">
        <w:t xml:space="preserve">and </w:t>
      </w:r>
      <w:r w:rsidR="007642C7" w:rsidRPr="00EB21D2">
        <w:t xml:space="preserve">provide greater connectivity </w:t>
      </w:r>
      <w:r w:rsidR="00396C6D" w:rsidRPr="00EB21D2">
        <w:t>between the central urbanised area of the Borough such as Mapperley and Arnold, and more rural settlements such as Burton Joyce and Stoke Bardolph.</w:t>
      </w:r>
    </w:p>
    <w:p w14:paraId="1F838FC2" w14:textId="43D8D546" w:rsidR="000D38CC" w:rsidRPr="00EB21D2" w:rsidRDefault="000D38CC" w:rsidP="006A7A1D">
      <w:pPr>
        <w:spacing w:line="360" w:lineRule="auto"/>
        <w:jc w:val="both"/>
      </w:pPr>
      <w:r w:rsidRPr="00EB21D2">
        <w:t xml:space="preserve">Gedling Borough Council have </w:t>
      </w:r>
      <w:r w:rsidR="00EB21D2" w:rsidRPr="00EB21D2">
        <w:t xml:space="preserve">transferred approx. £4.44m, from its Strategic Portion of CIL Receipts, to Nottinghamshire County Council in order to part fund the construction of the GAR. This payment </w:t>
      </w:r>
      <w:r w:rsidR="00EB21D2">
        <w:t xml:space="preserve">was transferred in the Autumn of 2023, after </w:t>
      </w:r>
      <w:r w:rsidR="00EB21D2" w:rsidRPr="00EB21D2">
        <w:t>the reporting year this Infrastructure Funding Statement covers, and as such will be fully reported in next year’s IFS.</w:t>
      </w:r>
    </w:p>
    <w:p w14:paraId="60C99FFD" w14:textId="77777777" w:rsidR="00EB21D2" w:rsidRPr="00EB21D2" w:rsidRDefault="00EB21D2" w:rsidP="00EB21D2">
      <w:pPr>
        <w:spacing w:line="360" w:lineRule="auto"/>
        <w:jc w:val="both"/>
      </w:pPr>
      <w:r w:rsidRPr="00EB21D2">
        <w:t>F</w:t>
      </w:r>
      <w:r w:rsidR="00396C6D" w:rsidRPr="00EB21D2">
        <w:t>ocus</w:t>
      </w:r>
      <w:r w:rsidRPr="00EB21D2">
        <w:t xml:space="preserve"> for the Strategic Portion of Gedling Borough Councils CIL Receipts</w:t>
      </w:r>
      <w:r w:rsidR="00396C6D" w:rsidRPr="00EB21D2">
        <w:t xml:space="preserve"> will</w:t>
      </w:r>
      <w:r w:rsidRPr="00EB21D2">
        <w:t xml:space="preserve"> now</w:t>
      </w:r>
      <w:r w:rsidR="00396C6D" w:rsidRPr="00EB21D2">
        <w:t xml:space="preserve"> shift towards </w:t>
      </w:r>
      <w:r w:rsidRPr="00EB21D2">
        <w:t>the remaining projects on the Infrastructure List – previously the Regulation 123 List. These include:</w:t>
      </w:r>
    </w:p>
    <w:p w14:paraId="38622BDD" w14:textId="77777777" w:rsidR="00EB21D2" w:rsidRPr="00EB21D2" w:rsidRDefault="00EB21D2" w:rsidP="00EB21D2">
      <w:pPr>
        <w:pStyle w:val="ListParagraph"/>
        <w:numPr>
          <w:ilvl w:val="0"/>
          <w:numId w:val="7"/>
        </w:numPr>
        <w:spacing w:line="360" w:lineRule="auto"/>
        <w:jc w:val="both"/>
      </w:pPr>
      <w:r w:rsidRPr="00EB21D2">
        <w:t>Gedling Colliery Country Park Visitors Centre</w:t>
      </w:r>
    </w:p>
    <w:p w14:paraId="57123EB3" w14:textId="6AB874D9" w:rsidR="00EB21D2" w:rsidRPr="00EB21D2" w:rsidRDefault="00EB21D2" w:rsidP="00EB21D2">
      <w:pPr>
        <w:pStyle w:val="ListParagraph"/>
        <w:numPr>
          <w:ilvl w:val="0"/>
          <w:numId w:val="7"/>
        </w:numPr>
        <w:spacing w:line="360" w:lineRule="auto"/>
        <w:jc w:val="both"/>
      </w:pPr>
      <w:r w:rsidRPr="00EB21D2">
        <w:t>Gedling Colliery / Chase Farm Secondary School Contributions</w:t>
      </w:r>
    </w:p>
    <w:p w14:paraId="3EB02841" w14:textId="3672E320" w:rsidR="00EB21D2" w:rsidRPr="00EB21D2" w:rsidRDefault="00EB21D2" w:rsidP="00EB21D2">
      <w:pPr>
        <w:pStyle w:val="ListParagraph"/>
        <w:numPr>
          <w:ilvl w:val="0"/>
          <w:numId w:val="7"/>
        </w:numPr>
        <w:spacing w:line="360" w:lineRule="auto"/>
        <w:jc w:val="both"/>
      </w:pPr>
      <w:r w:rsidRPr="00EB21D2">
        <w:t>Top Wighay Farm Secondary School Contributions</w:t>
      </w:r>
    </w:p>
    <w:p w14:paraId="1FD27B99" w14:textId="5813DE41" w:rsidR="00FF59B1" w:rsidRPr="00EB21D2" w:rsidRDefault="00C47515" w:rsidP="00EB21D2">
      <w:pPr>
        <w:spacing w:line="360" w:lineRule="auto"/>
        <w:jc w:val="both"/>
        <w:rPr>
          <w:lang w:val="en"/>
        </w:rPr>
      </w:pPr>
      <w:r w:rsidRPr="00EB21D2">
        <w:rPr>
          <w:lang w:val="en"/>
        </w:rPr>
        <w:t>No decision ha</w:t>
      </w:r>
      <w:r w:rsidR="00EB21D2" w:rsidRPr="00EB21D2">
        <w:rPr>
          <w:lang w:val="en"/>
        </w:rPr>
        <w:t>s</w:t>
      </w:r>
      <w:r w:rsidRPr="00EB21D2">
        <w:rPr>
          <w:lang w:val="en"/>
        </w:rPr>
        <w:t xml:space="preserve"> </w:t>
      </w:r>
      <w:r w:rsidR="00EB21D2" w:rsidRPr="00EB21D2">
        <w:rPr>
          <w:lang w:val="en"/>
        </w:rPr>
        <w:t xml:space="preserve">yet </w:t>
      </w:r>
      <w:r w:rsidRPr="00EB21D2">
        <w:rPr>
          <w:lang w:val="en"/>
        </w:rPr>
        <w:t xml:space="preserve">been taken with regards to the prioritisation of these projects. </w:t>
      </w:r>
    </w:p>
    <w:p w14:paraId="692B75CC" w14:textId="412FD382" w:rsidR="00C979CF" w:rsidRPr="00BB3646" w:rsidRDefault="00C979CF" w:rsidP="006A7A1D">
      <w:pPr>
        <w:spacing w:line="360" w:lineRule="auto"/>
        <w:jc w:val="both"/>
        <w:rPr>
          <w:b/>
          <w:bCs/>
        </w:rPr>
      </w:pPr>
      <w:r w:rsidRPr="00BB3646">
        <w:rPr>
          <w:b/>
          <w:bCs/>
        </w:rPr>
        <w:t>4.2</w:t>
      </w:r>
      <w:r w:rsidRPr="00BB3646">
        <w:rPr>
          <w:b/>
          <w:bCs/>
        </w:rPr>
        <w:tab/>
        <w:t>Neighbourhood Portion CIL</w:t>
      </w:r>
    </w:p>
    <w:p w14:paraId="62D1F313" w14:textId="3C700B4B" w:rsidR="00154645" w:rsidRPr="00BB3646" w:rsidRDefault="00432C99" w:rsidP="006A7A1D">
      <w:pPr>
        <w:spacing w:line="360" w:lineRule="auto"/>
        <w:jc w:val="both"/>
        <w:rPr>
          <w:bCs/>
        </w:rPr>
      </w:pPr>
      <w:r w:rsidRPr="00BB3646">
        <w:rPr>
          <w:bCs/>
        </w:rPr>
        <w:t>The Neighbourhood C</w:t>
      </w:r>
      <w:r w:rsidR="00B51619" w:rsidRPr="00BB3646">
        <w:rPr>
          <w:bCs/>
        </w:rPr>
        <w:t xml:space="preserve">IL will continue to be spent on providing and improving existing infrastructure within the Borough. 15% of CIL receipts will continue to be allocated to </w:t>
      </w:r>
      <w:r w:rsidR="00B51619" w:rsidRPr="00BB3646">
        <w:rPr>
          <w:bCs/>
        </w:rPr>
        <w:lastRenderedPageBreak/>
        <w:t xml:space="preserve">the Neighbourhood portion of the CIL rising to 25% in places where a Neighbourhood Plan has been adopted. </w:t>
      </w:r>
    </w:p>
    <w:p w14:paraId="21F3682D" w14:textId="5EB07DBB" w:rsidR="00B51619" w:rsidRPr="00BB3646" w:rsidRDefault="00B51619" w:rsidP="006A7A1D">
      <w:pPr>
        <w:spacing w:line="360" w:lineRule="auto"/>
        <w:jc w:val="both"/>
        <w:rPr>
          <w:bCs/>
        </w:rPr>
      </w:pPr>
      <w:r w:rsidRPr="00BB3646">
        <w:rPr>
          <w:bCs/>
        </w:rPr>
        <w:t xml:space="preserve">The Neighbourhood portion of CIL receipts collected in local parishes will continue to </w:t>
      </w:r>
      <w:r w:rsidR="004C6183" w:rsidRPr="00BB3646">
        <w:rPr>
          <w:bCs/>
        </w:rPr>
        <w:t xml:space="preserve">be </w:t>
      </w:r>
      <w:r w:rsidR="00761DA8" w:rsidRPr="00BB3646">
        <w:rPr>
          <w:bCs/>
        </w:rPr>
        <w:t>transferred</w:t>
      </w:r>
      <w:r w:rsidRPr="00BB3646">
        <w:rPr>
          <w:bCs/>
        </w:rPr>
        <w:t xml:space="preserve"> directly to these governing bodies for allocation.</w:t>
      </w:r>
    </w:p>
    <w:p w14:paraId="503188BF" w14:textId="7C842BFB" w:rsidR="0089084F" w:rsidRPr="00BB3646" w:rsidRDefault="00B51619" w:rsidP="006A7A1D">
      <w:pPr>
        <w:spacing w:line="360" w:lineRule="auto"/>
        <w:jc w:val="both"/>
        <w:rPr>
          <w:bCs/>
        </w:rPr>
      </w:pPr>
      <w:r w:rsidRPr="00BB3646">
        <w:rPr>
          <w:bCs/>
        </w:rPr>
        <w:t xml:space="preserve">Throughout the year, local community groups and stakeholders will be able to nominate projects for the Neighbourhood portion of the CIL receipts which are collected within non-parish areas. Submissions can be made </w:t>
      </w:r>
      <w:r w:rsidR="0089084F" w:rsidRPr="00BB3646">
        <w:rPr>
          <w:bCs/>
        </w:rPr>
        <w:t>by completing the electronic form on</w:t>
      </w:r>
      <w:r w:rsidRPr="00BB3646">
        <w:rPr>
          <w:bCs/>
        </w:rPr>
        <w:t xml:space="preserve"> the Gedling Borough Council website </w:t>
      </w:r>
      <w:r w:rsidR="000D38CC" w:rsidRPr="00BB3646">
        <w:rPr>
          <w:bCs/>
        </w:rPr>
        <w:t xml:space="preserve">at the following link - </w:t>
      </w:r>
      <w:hyperlink r:id="rId18" w:history="1">
        <w:r w:rsidR="0089084F" w:rsidRPr="00BB3646">
          <w:rPr>
            <w:rStyle w:val="Hyperlink"/>
            <w:bCs/>
            <w:color w:val="auto"/>
          </w:rPr>
          <w:t>https://apps.gedling.gov.uk/forms/default.aspx?formid=86</w:t>
        </w:r>
      </w:hyperlink>
      <w:r w:rsidR="0089084F" w:rsidRPr="00BB3646">
        <w:rPr>
          <w:bCs/>
        </w:rPr>
        <w:t>.</w:t>
      </w:r>
    </w:p>
    <w:p w14:paraId="263C638D" w14:textId="5ECE00DF" w:rsidR="0089084F" w:rsidRPr="00BB3646" w:rsidRDefault="002C35EA" w:rsidP="006A7A1D">
      <w:pPr>
        <w:spacing w:line="360" w:lineRule="auto"/>
        <w:jc w:val="both"/>
        <w:rPr>
          <w:bCs/>
        </w:rPr>
      </w:pPr>
      <w:r w:rsidRPr="00BB3646">
        <w:rPr>
          <w:bCs/>
        </w:rPr>
        <w:t xml:space="preserve">In accordance with the CIL Regulations and Gedling Borough Councils CIL Guidance Note, an assessment of </w:t>
      </w:r>
      <w:r w:rsidR="0089084F" w:rsidRPr="00BB3646">
        <w:rPr>
          <w:bCs/>
        </w:rPr>
        <w:t xml:space="preserve">all the projects nominated </w:t>
      </w:r>
      <w:r w:rsidRPr="00BB3646">
        <w:rPr>
          <w:bCs/>
        </w:rPr>
        <w:t xml:space="preserve">throughout the year </w:t>
      </w:r>
      <w:r w:rsidR="0089084F" w:rsidRPr="00BB3646">
        <w:rPr>
          <w:bCs/>
        </w:rPr>
        <w:t xml:space="preserve">will </w:t>
      </w:r>
      <w:r w:rsidR="00B72C0E" w:rsidRPr="00BB3646">
        <w:rPr>
          <w:bCs/>
        </w:rPr>
        <w:t xml:space="preserve">commence </w:t>
      </w:r>
      <w:r w:rsidR="00ED720C" w:rsidRPr="00BB3646">
        <w:rPr>
          <w:bCs/>
        </w:rPr>
        <w:t>in October.</w:t>
      </w:r>
      <w:r w:rsidRPr="00BB3646">
        <w:rPr>
          <w:bCs/>
        </w:rPr>
        <w:t xml:space="preserve"> </w:t>
      </w:r>
      <w:r w:rsidR="00ED720C" w:rsidRPr="00BB3646">
        <w:rPr>
          <w:bCs/>
        </w:rPr>
        <w:t>A</w:t>
      </w:r>
      <w:r w:rsidR="0089084F" w:rsidRPr="00BB3646">
        <w:rPr>
          <w:bCs/>
        </w:rPr>
        <w:t xml:space="preserve"> Local Infrastructure Schedule</w:t>
      </w:r>
      <w:r w:rsidR="00761DA8" w:rsidRPr="00BB3646">
        <w:rPr>
          <w:bCs/>
        </w:rPr>
        <w:t xml:space="preserve"> (LIS)</w:t>
      </w:r>
      <w:r w:rsidR="000D38CC" w:rsidRPr="00BB3646">
        <w:rPr>
          <w:bCs/>
        </w:rPr>
        <w:t xml:space="preserve"> will be published along with</w:t>
      </w:r>
      <w:r w:rsidR="0089084F" w:rsidRPr="00BB3646">
        <w:rPr>
          <w:bCs/>
        </w:rPr>
        <w:t xml:space="preserve"> a comprehensive project assessment</w:t>
      </w:r>
      <w:r w:rsidRPr="00BB3646">
        <w:rPr>
          <w:bCs/>
        </w:rPr>
        <w:t xml:space="preserve"> for review prior to CIL Non-Parish Funding awards being granted</w:t>
      </w:r>
      <w:r w:rsidR="000D38CC" w:rsidRPr="00BB3646">
        <w:rPr>
          <w:bCs/>
        </w:rPr>
        <w:t>.</w:t>
      </w:r>
      <w:r w:rsidR="009E7F57" w:rsidRPr="00BB3646">
        <w:rPr>
          <w:bCs/>
        </w:rPr>
        <w:t xml:space="preserve"> Following the publication of the LIS and project assessment </w:t>
      </w:r>
      <w:r w:rsidR="0089084F" w:rsidRPr="00BB3646">
        <w:rPr>
          <w:bCs/>
        </w:rPr>
        <w:t>a public consultation</w:t>
      </w:r>
      <w:r w:rsidR="009E7F57" w:rsidRPr="00BB3646">
        <w:rPr>
          <w:bCs/>
        </w:rPr>
        <w:t xml:space="preserve"> will be undertaken</w:t>
      </w:r>
      <w:r w:rsidR="0089084F" w:rsidRPr="00BB3646">
        <w:rPr>
          <w:bCs/>
        </w:rPr>
        <w:t xml:space="preserve"> and a final report identifying which if any projects have been successful. If no projects are nominated or deemed appropriate the Neighbourhood CIL will be carried over to the next financial year. </w:t>
      </w:r>
    </w:p>
    <w:p w14:paraId="066C7038" w14:textId="4D6D24CA" w:rsidR="0089084F" w:rsidRPr="00BB3646" w:rsidRDefault="0089084F" w:rsidP="006A7A1D">
      <w:pPr>
        <w:spacing w:line="360" w:lineRule="auto"/>
        <w:jc w:val="both"/>
        <w:rPr>
          <w:bCs/>
        </w:rPr>
      </w:pPr>
      <w:r w:rsidRPr="00BB3646">
        <w:rPr>
          <w:bCs/>
        </w:rPr>
        <w:t>Examples of types of Infrastructure which may be appropriate include:</w:t>
      </w:r>
    </w:p>
    <w:p w14:paraId="0CF98EF9" w14:textId="149936DC" w:rsidR="0089084F" w:rsidRPr="00BB3646" w:rsidRDefault="0089084F" w:rsidP="006A7A1D">
      <w:pPr>
        <w:spacing w:line="360" w:lineRule="auto"/>
        <w:jc w:val="both"/>
        <w:rPr>
          <w:bCs/>
        </w:rPr>
      </w:pPr>
      <w:r w:rsidRPr="00BB3646">
        <w:rPr>
          <w:bCs/>
        </w:rPr>
        <w:t>-</w:t>
      </w:r>
      <w:r w:rsidRPr="00BB3646">
        <w:rPr>
          <w:bCs/>
        </w:rPr>
        <w:tab/>
        <w:t xml:space="preserve">Improvements to local </w:t>
      </w:r>
      <w:r w:rsidR="00E373FE" w:rsidRPr="00BB3646">
        <w:rPr>
          <w:bCs/>
        </w:rPr>
        <w:t>o</w:t>
      </w:r>
      <w:r w:rsidRPr="00BB3646">
        <w:rPr>
          <w:bCs/>
        </w:rPr>
        <w:t xml:space="preserve">pen </w:t>
      </w:r>
      <w:proofErr w:type="gramStart"/>
      <w:r w:rsidR="00E373FE" w:rsidRPr="00BB3646">
        <w:rPr>
          <w:bCs/>
        </w:rPr>
        <w:t>s</w:t>
      </w:r>
      <w:r w:rsidRPr="00BB3646">
        <w:rPr>
          <w:bCs/>
        </w:rPr>
        <w:t>paces</w:t>
      </w:r>
      <w:r w:rsidR="00B66141" w:rsidRPr="00BB3646">
        <w:rPr>
          <w:bCs/>
        </w:rPr>
        <w:t>;</w:t>
      </w:r>
      <w:proofErr w:type="gramEnd"/>
    </w:p>
    <w:p w14:paraId="15946C86" w14:textId="5FB3FFFD" w:rsidR="0089084F" w:rsidRPr="00BB3646" w:rsidRDefault="0089084F" w:rsidP="006A7A1D">
      <w:pPr>
        <w:spacing w:line="360" w:lineRule="auto"/>
        <w:jc w:val="both"/>
        <w:rPr>
          <w:bCs/>
        </w:rPr>
      </w:pPr>
      <w:r w:rsidRPr="00BB3646">
        <w:rPr>
          <w:bCs/>
        </w:rPr>
        <w:t>-</w:t>
      </w:r>
      <w:r w:rsidRPr="00BB3646">
        <w:rPr>
          <w:bCs/>
        </w:rPr>
        <w:tab/>
        <w:t xml:space="preserve">Street </w:t>
      </w:r>
      <w:proofErr w:type="gramStart"/>
      <w:r w:rsidRPr="00BB3646">
        <w:rPr>
          <w:bCs/>
        </w:rPr>
        <w:t>improvements</w:t>
      </w:r>
      <w:r w:rsidR="00B66141" w:rsidRPr="00BB3646">
        <w:rPr>
          <w:bCs/>
        </w:rPr>
        <w:t>;</w:t>
      </w:r>
      <w:proofErr w:type="gramEnd"/>
    </w:p>
    <w:p w14:paraId="7BBED5C1" w14:textId="7645195D" w:rsidR="0089084F" w:rsidRPr="00BB3646" w:rsidRDefault="0089084F" w:rsidP="006A7A1D">
      <w:pPr>
        <w:spacing w:line="360" w:lineRule="auto"/>
        <w:jc w:val="both"/>
        <w:rPr>
          <w:bCs/>
        </w:rPr>
      </w:pPr>
      <w:r w:rsidRPr="00BB3646">
        <w:rPr>
          <w:bCs/>
        </w:rPr>
        <w:t>-</w:t>
      </w:r>
      <w:r w:rsidRPr="00BB3646">
        <w:rPr>
          <w:bCs/>
        </w:rPr>
        <w:tab/>
        <w:t xml:space="preserve">Drainage </w:t>
      </w:r>
      <w:proofErr w:type="gramStart"/>
      <w:r w:rsidRPr="00BB3646">
        <w:rPr>
          <w:bCs/>
        </w:rPr>
        <w:t>improvements</w:t>
      </w:r>
      <w:r w:rsidR="00B66141" w:rsidRPr="00BB3646">
        <w:rPr>
          <w:bCs/>
        </w:rPr>
        <w:t>;</w:t>
      </w:r>
      <w:proofErr w:type="gramEnd"/>
    </w:p>
    <w:p w14:paraId="1EEC2CEE" w14:textId="4ABF2F1D" w:rsidR="0089084F" w:rsidRPr="00BB3646" w:rsidRDefault="0089084F" w:rsidP="006A7A1D">
      <w:pPr>
        <w:spacing w:line="360" w:lineRule="auto"/>
        <w:jc w:val="both"/>
        <w:rPr>
          <w:bCs/>
        </w:rPr>
      </w:pPr>
      <w:r w:rsidRPr="00BB3646">
        <w:rPr>
          <w:bCs/>
        </w:rPr>
        <w:t>-</w:t>
      </w:r>
      <w:r w:rsidRPr="00BB3646">
        <w:rPr>
          <w:bCs/>
        </w:rPr>
        <w:tab/>
        <w:t>Town centre regeneration and</w:t>
      </w:r>
    </w:p>
    <w:p w14:paraId="28314956" w14:textId="0E2F0AA7" w:rsidR="0089084F" w:rsidRPr="00BB3646" w:rsidRDefault="0089084F" w:rsidP="006A7A1D">
      <w:pPr>
        <w:spacing w:line="360" w:lineRule="auto"/>
        <w:jc w:val="both"/>
        <w:rPr>
          <w:bCs/>
        </w:rPr>
      </w:pPr>
      <w:r w:rsidRPr="00BB3646">
        <w:rPr>
          <w:bCs/>
        </w:rPr>
        <w:t>-</w:t>
      </w:r>
      <w:r w:rsidRPr="00BB3646">
        <w:rPr>
          <w:bCs/>
        </w:rPr>
        <w:tab/>
        <w:t>Recreational facilities.</w:t>
      </w:r>
    </w:p>
    <w:p w14:paraId="69FD158C" w14:textId="0E1D06CD" w:rsidR="001564FF" w:rsidRPr="00BB3646" w:rsidRDefault="0089084F" w:rsidP="006A7A1D">
      <w:pPr>
        <w:spacing w:line="360" w:lineRule="auto"/>
        <w:jc w:val="both"/>
        <w:rPr>
          <w:bCs/>
        </w:rPr>
      </w:pPr>
      <w:r w:rsidRPr="00BB3646">
        <w:rPr>
          <w:bCs/>
        </w:rPr>
        <w:t>It is important that any project which is nominated is able to demonstrate how it fulfils a need created by new development within the area and, should whe</w:t>
      </w:r>
      <w:r w:rsidR="00B66141" w:rsidRPr="00BB3646">
        <w:rPr>
          <w:bCs/>
        </w:rPr>
        <w:t>r</w:t>
      </w:r>
      <w:r w:rsidRPr="00BB3646">
        <w:rPr>
          <w:bCs/>
        </w:rPr>
        <w:t xml:space="preserve">ever possible, </w:t>
      </w:r>
      <w:r w:rsidR="00D7470E" w:rsidRPr="00BB3646">
        <w:rPr>
          <w:bCs/>
        </w:rPr>
        <w:t>show availability to provide</w:t>
      </w:r>
      <w:r w:rsidRPr="00BB3646">
        <w:rPr>
          <w:bCs/>
        </w:rPr>
        <w:t xml:space="preserve"> match funding</w:t>
      </w:r>
      <w:r w:rsidR="00D7470E" w:rsidRPr="00BB3646">
        <w:rPr>
          <w:bCs/>
        </w:rPr>
        <w:t xml:space="preserve"> through other revenue streams.</w:t>
      </w:r>
    </w:p>
    <w:p w14:paraId="2252B8F6" w14:textId="793E1DA8" w:rsidR="00F100CC" w:rsidRPr="00F0619A" w:rsidRDefault="00C979CF" w:rsidP="006A7A1D">
      <w:pPr>
        <w:spacing w:line="360" w:lineRule="auto"/>
        <w:jc w:val="both"/>
        <w:rPr>
          <w:b/>
          <w:bCs/>
        </w:rPr>
      </w:pPr>
      <w:r w:rsidRPr="00F0619A">
        <w:rPr>
          <w:b/>
          <w:bCs/>
        </w:rPr>
        <w:t>4.3</w:t>
      </w:r>
      <w:r w:rsidRPr="00F0619A">
        <w:rPr>
          <w:b/>
          <w:bCs/>
        </w:rPr>
        <w:tab/>
        <w:t>Section 106 Contributions</w:t>
      </w:r>
    </w:p>
    <w:p w14:paraId="61B9840A" w14:textId="5CB5748C" w:rsidR="00615DE7" w:rsidRPr="0035518C" w:rsidRDefault="00E0072E" w:rsidP="006A7A1D">
      <w:pPr>
        <w:pStyle w:val="NormalIndent"/>
        <w:spacing w:line="360" w:lineRule="auto"/>
        <w:ind w:left="0" w:firstLine="0"/>
        <w:rPr>
          <w:sz w:val="24"/>
          <w:szCs w:val="24"/>
        </w:rPr>
      </w:pPr>
      <w:r w:rsidRPr="0035518C">
        <w:rPr>
          <w:sz w:val="24"/>
          <w:szCs w:val="24"/>
        </w:rPr>
        <w:t>The Gedling 202</w:t>
      </w:r>
      <w:r w:rsidR="0035518C" w:rsidRPr="0035518C">
        <w:rPr>
          <w:sz w:val="24"/>
          <w:szCs w:val="24"/>
        </w:rPr>
        <w:t>3</w:t>
      </w:r>
      <w:r w:rsidRPr="0035518C">
        <w:rPr>
          <w:sz w:val="24"/>
          <w:szCs w:val="24"/>
        </w:rPr>
        <w:t>/2</w:t>
      </w:r>
      <w:r w:rsidR="0035518C" w:rsidRPr="0035518C">
        <w:rPr>
          <w:sz w:val="24"/>
          <w:szCs w:val="24"/>
        </w:rPr>
        <w:t>4</w:t>
      </w:r>
      <w:r w:rsidRPr="0035518C">
        <w:rPr>
          <w:sz w:val="24"/>
          <w:szCs w:val="24"/>
        </w:rPr>
        <w:t xml:space="preserve"> capital programme sets out the future spending priorities of </w:t>
      </w:r>
      <w:r w:rsidRPr="0035518C">
        <w:rPr>
          <w:sz w:val="24"/>
          <w:szCs w:val="24"/>
        </w:rPr>
        <w:lastRenderedPageBreak/>
        <w:t xml:space="preserve">Gedling Borough Council. </w:t>
      </w:r>
      <w:r w:rsidR="0035518C" w:rsidRPr="0035518C">
        <w:rPr>
          <w:sz w:val="24"/>
          <w:szCs w:val="24"/>
        </w:rPr>
        <w:t>T</w:t>
      </w:r>
      <w:r w:rsidR="00894489" w:rsidRPr="0035518C">
        <w:rPr>
          <w:sz w:val="24"/>
          <w:szCs w:val="24"/>
        </w:rPr>
        <w:t>hree</w:t>
      </w:r>
      <w:r w:rsidR="00F5556F" w:rsidRPr="0035518C">
        <w:rPr>
          <w:sz w:val="24"/>
          <w:szCs w:val="24"/>
        </w:rPr>
        <w:t xml:space="preserve"> infrastructure projects totalling </w:t>
      </w:r>
      <w:r w:rsidRPr="0035518C">
        <w:rPr>
          <w:sz w:val="24"/>
          <w:szCs w:val="24"/>
        </w:rPr>
        <w:t>£</w:t>
      </w:r>
      <w:r w:rsidR="00894489" w:rsidRPr="0035518C">
        <w:rPr>
          <w:sz w:val="24"/>
          <w:szCs w:val="24"/>
        </w:rPr>
        <w:t>71</w:t>
      </w:r>
      <w:r w:rsidRPr="0035518C">
        <w:rPr>
          <w:sz w:val="24"/>
          <w:szCs w:val="24"/>
        </w:rPr>
        <w:t>,</w:t>
      </w:r>
      <w:r w:rsidR="00894489" w:rsidRPr="0035518C">
        <w:rPr>
          <w:sz w:val="24"/>
          <w:szCs w:val="24"/>
        </w:rPr>
        <w:t>8</w:t>
      </w:r>
      <w:r w:rsidRPr="0035518C">
        <w:rPr>
          <w:sz w:val="24"/>
          <w:szCs w:val="24"/>
        </w:rPr>
        <w:t>00</w:t>
      </w:r>
      <w:r w:rsidR="0035518C" w:rsidRPr="0035518C">
        <w:rPr>
          <w:sz w:val="24"/>
          <w:szCs w:val="24"/>
        </w:rPr>
        <w:t xml:space="preserve"> were initially identified in 2022/23 and have been carried across into 2023/24</w:t>
      </w:r>
      <w:r w:rsidRPr="0035518C">
        <w:rPr>
          <w:sz w:val="24"/>
          <w:szCs w:val="24"/>
        </w:rPr>
        <w:t>. The projects which have been identified so far as suitable for Section 106 funding are</w:t>
      </w:r>
      <w:r w:rsidR="00A4343E" w:rsidRPr="0035518C">
        <w:rPr>
          <w:sz w:val="24"/>
          <w:szCs w:val="24"/>
        </w:rPr>
        <w:t xml:space="preserve"> detailed in table 17 below. </w:t>
      </w:r>
    </w:p>
    <w:tbl>
      <w:tblPr>
        <w:tblStyle w:val="TableGrid"/>
        <w:tblW w:w="0" w:type="auto"/>
        <w:tblLook w:val="04A0" w:firstRow="1" w:lastRow="0" w:firstColumn="1" w:lastColumn="0" w:noHBand="0" w:noVBand="1"/>
        <w:tblCaption w:val="Table 17. Section 106 Contributions 2022/23 Allocations"/>
        <w:tblDescription w:val="A detailed breakdown of Section 106 Contributions allocated for the financial year 2022/23."/>
      </w:tblPr>
      <w:tblGrid>
        <w:gridCol w:w="9016"/>
      </w:tblGrid>
      <w:tr w:rsidR="00205BDF" w:rsidRPr="00205BDF" w14:paraId="7A993862" w14:textId="77777777" w:rsidTr="004D4B23">
        <w:trPr>
          <w:tblHeader/>
        </w:trPr>
        <w:tc>
          <w:tcPr>
            <w:tcW w:w="9016" w:type="dxa"/>
            <w:shd w:val="clear" w:color="auto" w:fill="000000" w:themeFill="text1"/>
          </w:tcPr>
          <w:p w14:paraId="5CE93B6A" w14:textId="125FE8CE" w:rsidR="00E0072E" w:rsidRPr="0035518C" w:rsidRDefault="00E0072E" w:rsidP="00A4343E">
            <w:pPr>
              <w:pStyle w:val="NoSpacing"/>
              <w:spacing w:line="360" w:lineRule="auto"/>
              <w:rPr>
                <w:b/>
                <w:szCs w:val="24"/>
              </w:rPr>
            </w:pPr>
            <w:r w:rsidRPr="0035518C">
              <w:rPr>
                <w:b/>
                <w:lang w:eastAsia="en-GB"/>
              </w:rPr>
              <w:t>Table 1</w:t>
            </w:r>
            <w:r w:rsidR="00A4343E" w:rsidRPr="0035518C">
              <w:rPr>
                <w:b/>
                <w:lang w:eastAsia="en-GB"/>
              </w:rPr>
              <w:t>7</w:t>
            </w:r>
            <w:r w:rsidRPr="0035518C">
              <w:rPr>
                <w:b/>
                <w:lang w:eastAsia="en-GB"/>
              </w:rPr>
              <w:t>. Section 106 Contributions 202</w:t>
            </w:r>
            <w:r w:rsidR="0035518C">
              <w:rPr>
                <w:b/>
                <w:lang w:eastAsia="en-GB"/>
              </w:rPr>
              <w:t>3</w:t>
            </w:r>
            <w:r w:rsidRPr="0035518C">
              <w:rPr>
                <w:b/>
                <w:lang w:eastAsia="en-GB"/>
              </w:rPr>
              <w:t>/</w:t>
            </w:r>
            <w:r w:rsidR="0035518C">
              <w:rPr>
                <w:b/>
                <w:lang w:eastAsia="en-GB"/>
              </w:rPr>
              <w:t>24</w:t>
            </w:r>
            <w:r w:rsidRPr="0035518C">
              <w:rPr>
                <w:b/>
                <w:lang w:eastAsia="en-GB"/>
              </w:rPr>
              <w:t xml:space="preserve"> Allocations</w:t>
            </w:r>
          </w:p>
        </w:tc>
      </w:tr>
      <w:tr w:rsidR="00205BDF" w:rsidRPr="00205BDF" w14:paraId="355B43BB" w14:textId="77777777" w:rsidTr="00E0072E">
        <w:trPr>
          <w:trHeight w:val="132"/>
        </w:trPr>
        <w:tc>
          <w:tcPr>
            <w:tcW w:w="9016" w:type="dxa"/>
            <w:shd w:val="clear" w:color="auto" w:fill="D9D9D9" w:themeFill="background1" w:themeFillShade="D9"/>
          </w:tcPr>
          <w:p w14:paraId="6314F080" w14:textId="19AEB0D0" w:rsidR="00E0072E" w:rsidRPr="0035518C" w:rsidRDefault="005B5DDF" w:rsidP="00E0072E">
            <w:pPr>
              <w:pStyle w:val="NoSpacing"/>
              <w:spacing w:line="360" w:lineRule="auto"/>
              <w:rPr>
                <w:b/>
                <w:szCs w:val="24"/>
              </w:rPr>
            </w:pPr>
            <w:r w:rsidRPr="0035518C">
              <w:rPr>
                <w:b/>
              </w:rPr>
              <w:t>Open Spaces</w:t>
            </w:r>
          </w:p>
        </w:tc>
      </w:tr>
      <w:tr w:rsidR="00205BDF" w:rsidRPr="00205BDF" w14:paraId="48C3E390" w14:textId="77777777" w:rsidTr="00E0072E">
        <w:tc>
          <w:tcPr>
            <w:tcW w:w="9016" w:type="dxa"/>
          </w:tcPr>
          <w:p w14:paraId="09421FA0" w14:textId="32B2D8DC" w:rsidR="005B5DDF" w:rsidRPr="0035518C" w:rsidRDefault="00894489" w:rsidP="00894489">
            <w:pPr>
              <w:pStyle w:val="NoSpacing"/>
              <w:spacing w:line="360" w:lineRule="auto"/>
            </w:pPr>
            <w:r w:rsidRPr="0035518C">
              <w:t>Sand Martin Bank &amp; Bird Hide at Gedling Country Park £13,700 from Spring Lane 2007/0748 Contributions.</w:t>
            </w:r>
          </w:p>
        </w:tc>
      </w:tr>
      <w:tr w:rsidR="00205BDF" w:rsidRPr="00205BDF" w14:paraId="082AADBE" w14:textId="77777777" w:rsidTr="005B5DDF">
        <w:tc>
          <w:tcPr>
            <w:tcW w:w="9016" w:type="dxa"/>
            <w:shd w:val="clear" w:color="auto" w:fill="FFFFFF" w:themeFill="background1"/>
          </w:tcPr>
          <w:p w14:paraId="797492A5" w14:textId="2F81CBA0" w:rsidR="005B5DDF" w:rsidRPr="0035518C" w:rsidRDefault="00894489" w:rsidP="005B5DDF">
            <w:pPr>
              <w:pStyle w:val="NoSpacing"/>
              <w:spacing w:line="360" w:lineRule="auto"/>
              <w:rPr>
                <w:b/>
                <w:lang w:eastAsia="en-GB"/>
              </w:rPr>
            </w:pPr>
            <w:r w:rsidRPr="0035518C">
              <w:t xml:space="preserve">Lambley Lane Changing Rooms &amp; Pitch Renovation £21,300 from </w:t>
            </w:r>
            <w:r w:rsidRPr="0035518C">
              <w:rPr>
                <w:lang w:eastAsia="en-GB"/>
              </w:rPr>
              <w:t>Land Off Cavendish Road 2014/0559 Contributions</w:t>
            </w:r>
            <w:r w:rsidRPr="0035518C">
              <w:t>.</w:t>
            </w:r>
          </w:p>
        </w:tc>
      </w:tr>
      <w:tr w:rsidR="00205BDF" w:rsidRPr="00205BDF" w14:paraId="3D61951D" w14:textId="77777777" w:rsidTr="005B5DDF">
        <w:tc>
          <w:tcPr>
            <w:tcW w:w="9016" w:type="dxa"/>
            <w:shd w:val="clear" w:color="auto" w:fill="FFFFFF" w:themeFill="background1"/>
          </w:tcPr>
          <w:p w14:paraId="72E103F4" w14:textId="70EB2FBB" w:rsidR="00894489" w:rsidRPr="0035518C" w:rsidRDefault="00894489" w:rsidP="00894489">
            <w:pPr>
              <w:pStyle w:val="NoSpacing"/>
              <w:spacing w:line="360" w:lineRule="auto"/>
            </w:pPr>
            <w:r w:rsidRPr="0035518C">
              <w:t>Bestwood Country Park Car Park extension £36,800 from Land west of Beeston Close 2017/0194 Contributions.</w:t>
            </w:r>
          </w:p>
        </w:tc>
      </w:tr>
      <w:tr w:rsidR="00205BDF" w:rsidRPr="00205BDF" w14:paraId="31582ED0" w14:textId="77777777" w:rsidTr="00E0072E">
        <w:tc>
          <w:tcPr>
            <w:tcW w:w="9016" w:type="dxa"/>
            <w:shd w:val="clear" w:color="auto" w:fill="D9D9D9" w:themeFill="background1" w:themeFillShade="D9"/>
          </w:tcPr>
          <w:p w14:paraId="1DFDEC1F" w14:textId="2BD6A7EA" w:rsidR="005B5DDF" w:rsidRPr="0035518C" w:rsidRDefault="005B5DDF" w:rsidP="005B5DDF">
            <w:pPr>
              <w:pStyle w:val="NoSpacing"/>
              <w:spacing w:line="360" w:lineRule="auto"/>
              <w:rPr>
                <w:b/>
              </w:rPr>
            </w:pPr>
            <w:r w:rsidRPr="0035518C">
              <w:rPr>
                <w:b/>
                <w:lang w:eastAsia="en-GB"/>
              </w:rPr>
              <w:t>Affordable Housing</w:t>
            </w:r>
          </w:p>
        </w:tc>
      </w:tr>
      <w:tr w:rsidR="00205BDF" w:rsidRPr="00205BDF" w14:paraId="2D075038" w14:textId="77777777" w:rsidTr="00E0072E">
        <w:tc>
          <w:tcPr>
            <w:tcW w:w="9016" w:type="dxa"/>
          </w:tcPr>
          <w:p w14:paraId="1F08BB54" w14:textId="1601C43E" w:rsidR="005B5DDF" w:rsidRPr="0035518C" w:rsidRDefault="005B5DDF" w:rsidP="00925624">
            <w:pPr>
              <w:pStyle w:val="NoSpacing"/>
              <w:spacing w:line="360" w:lineRule="auto"/>
            </w:pPr>
            <w:r w:rsidRPr="0035518C">
              <w:t>No funding committed for 2</w:t>
            </w:r>
            <w:r w:rsidR="0035518C" w:rsidRPr="0035518C">
              <w:t>3</w:t>
            </w:r>
            <w:r w:rsidRPr="0035518C">
              <w:t>/2</w:t>
            </w:r>
            <w:r w:rsidR="0035518C" w:rsidRPr="0035518C">
              <w:t>4</w:t>
            </w:r>
            <w:r w:rsidRPr="0035518C">
              <w:t xml:space="preserve"> to date.</w:t>
            </w:r>
          </w:p>
        </w:tc>
      </w:tr>
      <w:tr w:rsidR="00205BDF" w:rsidRPr="00205BDF" w14:paraId="40ACD474" w14:textId="77777777" w:rsidTr="00E0072E">
        <w:tc>
          <w:tcPr>
            <w:tcW w:w="9016" w:type="dxa"/>
            <w:shd w:val="clear" w:color="auto" w:fill="D9D9D9" w:themeFill="background1" w:themeFillShade="D9"/>
          </w:tcPr>
          <w:p w14:paraId="3B9AE76B" w14:textId="23E2BAF0" w:rsidR="005B5DDF" w:rsidRPr="0035518C" w:rsidRDefault="005B5DDF" w:rsidP="005B5DDF">
            <w:pPr>
              <w:pStyle w:val="NoSpacing"/>
              <w:spacing w:line="360" w:lineRule="auto"/>
              <w:rPr>
                <w:b/>
              </w:rPr>
            </w:pPr>
            <w:r w:rsidRPr="0035518C">
              <w:rPr>
                <w:b/>
              </w:rPr>
              <w:t>Healthcare</w:t>
            </w:r>
          </w:p>
        </w:tc>
      </w:tr>
      <w:tr w:rsidR="00205BDF" w:rsidRPr="00205BDF" w14:paraId="7EECA8EE" w14:textId="77777777" w:rsidTr="00E0072E">
        <w:tc>
          <w:tcPr>
            <w:tcW w:w="9016" w:type="dxa"/>
          </w:tcPr>
          <w:p w14:paraId="415F4526" w14:textId="40B927DE" w:rsidR="005B5DDF" w:rsidRPr="0035518C" w:rsidRDefault="005B5DDF" w:rsidP="00925624">
            <w:pPr>
              <w:pStyle w:val="NoSpacing"/>
              <w:spacing w:line="360" w:lineRule="auto"/>
            </w:pPr>
            <w:r w:rsidRPr="0035518C">
              <w:t>No funding committed for 2</w:t>
            </w:r>
            <w:r w:rsidR="0035518C" w:rsidRPr="0035518C">
              <w:t>3</w:t>
            </w:r>
            <w:r w:rsidRPr="0035518C">
              <w:t>/2</w:t>
            </w:r>
            <w:r w:rsidR="0035518C" w:rsidRPr="0035518C">
              <w:t>4</w:t>
            </w:r>
            <w:r w:rsidRPr="0035518C">
              <w:t xml:space="preserve"> to date.</w:t>
            </w:r>
          </w:p>
        </w:tc>
      </w:tr>
      <w:tr w:rsidR="00205BDF" w:rsidRPr="00205BDF" w14:paraId="6E393F48" w14:textId="77777777" w:rsidTr="00E0072E">
        <w:tc>
          <w:tcPr>
            <w:tcW w:w="9016" w:type="dxa"/>
            <w:shd w:val="clear" w:color="auto" w:fill="D9D9D9" w:themeFill="background1" w:themeFillShade="D9"/>
          </w:tcPr>
          <w:p w14:paraId="6099254F" w14:textId="55813BDD" w:rsidR="005B5DDF" w:rsidRPr="00EE0522" w:rsidRDefault="005B5DDF" w:rsidP="005B5DDF">
            <w:pPr>
              <w:pStyle w:val="NoSpacing"/>
              <w:spacing w:line="360" w:lineRule="auto"/>
              <w:rPr>
                <w:b/>
              </w:rPr>
            </w:pPr>
            <w:r w:rsidRPr="00EE0522">
              <w:rPr>
                <w:b/>
              </w:rPr>
              <w:t>Education</w:t>
            </w:r>
          </w:p>
        </w:tc>
      </w:tr>
      <w:tr w:rsidR="005B5DDF" w:rsidRPr="00205BDF" w14:paraId="3E57E313" w14:textId="77777777" w:rsidTr="00E0072E">
        <w:tc>
          <w:tcPr>
            <w:tcW w:w="9016" w:type="dxa"/>
          </w:tcPr>
          <w:p w14:paraId="6FCA48CD" w14:textId="758AB36A" w:rsidR="005B5DDF" w:rsidRPr="00EE0522" w:rsidRDefault="005B5DDF" w:rsidP="005B5DDF">
            <w:pPr>
              <w:spacing w:line="360" w:lineRule="auto"/>
              <w:rPr>
                <w:rFonts w:cs="Arial"/>
                <w:bCs/>
                <w:szCs w:val="24"/>
              </w:rPr>
            </w:pPr>
            <w:r w:rsidRPr="00EE0522">
              <w:rPr>
                <w:rFonts w:cs="Arial"/>
                <w:bCs/>
                <w:szCs w:val="24"/>
              </w:rPr>
              <w:t>Education Contributions are requested and secured by Nottinghamshire County Council. The County Council are required to draft their own Infrastructure Funding Statement reporting on financial contributions received through S106 Agreements. A copy of this document will be available for viewing on Nottinghamshire County Councils website.</w:t>
            </w:r>
          </w:p>
        </w:tc>
      </w:tr>
    </w:tbl>
    <w:p w14:paraId="2F5C6906" w14:textId="77777777" w:rsidR="004C126B" w:rsidRPr="00205BDF" w:rsidRDefault="004C126B" w:rsidP="004C126B">
      <w:pPr>
        <w:pStyle w:val="NoSpacing"/>
        <w:rPr>
          <w:color w:val="FF0000"/>
        </w:rPr>
      </w:pPr>
    </w:p>
    <w:p w14:paraId="1FD7C6C8" w14:textId="2E997B2A" w:rsidR="00615DE7" w:rsidRPr="003C490E" w:rsidRDefault="004C126B" w:rsidP="00A4343E">
      <w:pPr>
        <w:spacing w:line="360" w:lineRule="auto"/>
        <w:jc w:val="both"/>
      </w:pPr>
      <w:r w:rsidRPr="003C490E">
        <w:t xml:space="preserve">Careful consideration will be given to remaining </w:t>
      </w:r>
      <w:r w:rsidR="00EE066C" w:rsidRPr="003C490E">
        <w:t>Section 106 Contributions which are being held by Gedling Borough Council</w:t>
      </w:r>
      <w:r w:rsidRPr="003C490E">
        <w:t xml:space="preserve">. </w:t>
      </w:r>
      <w:r w:rsidR="00EE066C" w:rsidRPr="003C490E">
        <w:t xml:space="preserve"> </w:t>
      </w:r>
      <w:r w:rsidRPr="003C490E">
        <w:t xml:space="preserve">These remaining sums will be </w:t>
      </w:r>
      <w:proofErr w:type="gramStart"/>
      <w:r w:rsidRPr="003C490E">
        <w:t>monitored</w:t>
      </w:r>
      <w:proofErr w:type="gramEnd"/>
      <w:r w:rsidRPr="003C490E">
        <w:t xml:space="preserve"> and </w:t>
      </w:r>
      <w:r w:rsidR="000D3D99" w:rsidRPr="003C490E">
        <w:t>projects identified in accordance with the relevant legal S106 Agreements.</w:t>
      </w:r>
    </w:p>
    <w:p w14:paraId="315ACD2D" w14:textId="2B2C0997" w:rsidR="001C36F0" w:rsidRPr="00F0619A" w:rsidRDefault="001C36F0" w:rsidP="00E0072E">
      <w:pPr>
        <w:rPr>
          <w:b/>
        </w:rPr>
      </w:pPr>
      <w:r w:rsidRPr="00F0619A">
        <w:rPr>
          <w:b/>
        </w:rPr>
        <w:t>5</w:t>
      </w:r>
      <w:r w:rsidRPr="00F0619A">
        <w:rPr>
          <w:b/>
        </w:rPr>
        <w:tab/>
        <w:t>Infrastructure List</w:t>
      </w:r>
    </w:p>
    <w:tbl>
      <w:tblPr>
        <w:tblStyle w:val="TableGrid"/>
        <w:tblW w:w="0" w:type="auto"/>
        <w:tblLook w:val="04A0" w:firstRow="1" w:lastRow="0" w:firstColumn="1" w:lastColumn="0" w:noHBand="0" w:noVBand="1"/>
        <w:tblCaption w:val="Table 18. The Infrastructure List"/>
        <w:tblDescription w:val="A detailed breakdown of infrastructure projects which are expected to be wholly, or partly, funded through CIL or Section 106 Agreements in the future."/>
      </w:tblPr>
      <w:tblGrid>
        <w:gridCol w:w="5665"/>
        <w:gridCol w:w="3351"/>
      </w:tblGrid>
      <w:tr w:rsidR="00205BDF" w:rsidRPr="00205BDF" w14:paraId="4E9D8234" w14:textId="77777777" w:rsidTr="004D4B23">
        <w:trPr>
          <w:tblHeader/>
        </w:trPr>
        <w:tc>
          <w:tcPr>
            <w:tcW w:w="9016" w:type="dxa"/>
            <w:gridSpan w:val="2"/>
            <w:shd w:val="clear" w:color="auto" w:fill="000000" w:themeFill="text1"/>
          </w:tcPr>
          <w:p w14:paraId="6264C319" w14:textId="7701D107" w:rsidR="00C8306F" w:rsidRPr="00205BDF" w:rsidRDefault="00C8306F" w:rsidP="00A4343E">
            <w:pPr>
              <w:spacing w:line="360" w:lineRule="auto"/>
              <w:rPr>
                <w:b/>
                <w:color w:val="FF0000"/>
              </w:rPr>
            </w:pPr>
            <w:r w:rsidRPr="00F0619A">
              <w:rPr>
                <w:b/>
              </w:rPr>
              <w:t>Table 1</w:t>
            </w:r>
            <w:r w:rsidR="00A4343E" w:rsidRPr="00F0619A">
              <w:rPr>
                <w:b/>
              </w:rPr>
              <w:t>8</w:t>
            </w:r>
            <w:r w:rsidRPr="00F0619A">
              <w:rPr>
                <w:b/>
              </w:rPr>
              <w:t>. The Infrastructure List</w:t>
            </w:r>
          </w:p>
        </w:tc>
      </w:tr>
      <w:tr w:rsidR="00205BDF" w:rsidRPr="00205BDF" w14:paraId="52F13CAF" w14:textId="77777777" w:rsidTr="00C8306F">
        <w:tc>
          <w:tcPr>
            <w:tcW w:w="9016" w:type="dxa"/>
            <w:gridSpan w:val="2"/>
            <w:shd w:val="clear" w:color="auto" w:fill="D9D9D9" w:themeFill="background1" w:themeFillShade="D9"/>
          </w:tcPr>
          <w:p w14:paraId="0343967F" w14:textId="423904D6" w:rsidR="00C8306F" w:rsidRPr="00EB21D2" w:rsidRDefault="00C8306F" w:rsidP="00EE066C">
            <w:pPr>
              <w:spacing w:line="360" w:lineRule="auto"/>
              <w:rPr>
                <w:b/>
              </w:rPr>
            </w:pPr>
            <w:r w:rsidRPr="00EB21D2">
              <w:rPr>
                <w:b/>
              </w:rPr>
              <w:t>Community Infrastructure Levy</w:t>
            </w:r>
          </w:p>
        </w:tc>
      </w:tr>
      <w:tr w:rsidR="00205BDF" w:rsidRPr="00205BDF" w14:paraId="4CF85447" w14:textId="77777777" w:rsidTr="00062847">
        <w:tc>
          <w:tcPr>
            <w:tcW w:w="5665" w:type="dxa"/>
          </w:tcPr>
          <w:p w14:paraId="0BB1E869" w14:textId="7395C582" w:rsidR="00C8306F" w:rsidRPr="00EB21D2" w:rsidRDefault="00C8306F" w:rsidP="00EE066C">
            <w:pPr>
              <w:spacing w:line="360" w:lineRule="auto"/>
            </w:pPr>
            <w:r w:rsidRPr="00EB21D2">
              <w:t xml:space="preserve">Construction of Gedling Access Road to facilitate Gedling Colliery / Chase Farm development. </w:t>
            </w:r>
          </w:p>
        </w:tc>
        <w:tc>
          <w:tcPr>
            <w:tcW w:w="3351" w:type="dxa"/>
          </w:tcPr>
          <w:p w14:paraId="432DBEAA" w14:textId="7223A546" w:rsidR="00C8306F" w:rsidRPr="00EB21D2" w:rsidRDefault="004D05F0" w:rsidP="00EE066C">
            <w:pPr>
              <w:spacing w:line="360" w:lineRule="auto"/>
            </w:pPr>
            <w:r>
              <w:t xml:space="preserve">Project complete. </w:t>
            </w:r>
            <w:r w:rsidR="002C390E">
              <w:t>Strategic CIL transferred</w:t>
            </w:r>
            <w:r>
              <w:t xml:space="preserve"> to Nottinghamshire County </w:t>
            </w:r>
            <w:r>
              <w:lastRenderedPageBreak/>
              <w:t xml:space="preserve">Council </w:t>
            </w:r>
            <w:r w:rsidR="002C390E">
              <w:t xml:space="preserve">in Autumn 2023 which will be reported in next year’s IFS with the project then removed from the Infrastructure List. </w:t>
            </w:r>
            <w:r>
              <w:t xml:space="preserve"> </w:t>
            </w:r>
          </w:p>
        </w:tc>
      </w:tr>
      <w:tr w:rsidR="00205BDF" w:rsidRPr="00205BDF" w14:paraId="77F74557" w14:textId="77777777" w:rsidTr="00062847">
        <w:tc>
          <w:tcPr>
            <w:tcW w:w="5665" w:type="dxa"/>
          </w:tcPr>
          <w:p w14:paraId="6DC5FD6F" w14:textId="01CF54C3" w:rsidR="00EE066C" w:rsidRPr="00EB21D2" w:rsidRDefault="00EE066C" w:rsidP="00EE066C">
            <w:pPr>
              <w:spacing w:line="360" w:lineRule="auto"/>
            </w:pPr>
            <w:r w:rsidRPr="00EB21D2">
              <w:lastRenderedPageBreak/>
              <w:t xml:space="preserve">Secondary School Contributions at Gedling Colliery / Chase Farm and Top Wighay Farm developments. </w:t>
            </w:r>
          </w:p>
        </w:tc>
        <w:tc>
          <w:tcPr>
            <w:tcW w:w="3351" w:type="dxa"/>
          </w:tcPr>
          <w:p w14:paraId="5F987CC4" w14:textId="52B1D182" w:rsidR="00EE066C" w:rsidRPr="00EB21D2" w:rsidRDefault="00EE066C" w:rsidP="00EE066C">
            <w:pPr>
              <w:spacing w:line="360" w:lineRule="auto"/>
            </w:pPr>
            <w:r w:rsidRPr="00EB21D2">
              <w:t>To be funded through Strategic portion of CIL Receipts collected.</w:t>
            </w:r>
          </w:p>
        </w:tc>
      </w:tr>
      <w:tr w:rsidR="00205BDF" w:rsidRPr="00205BDF" w14:paraId="0915C732" w14:textId="77777777" w:rsidTr="00062847">
        <w:tc>
          <w:tcPr>
            <w:tcW w:w="5665" w:type="dxa"/>
          </w:tcPr>
          <w:p w14:paraId="15C2690C" w14:textId="731C4ED2" w:rsidR="00CC7E00" w:rsidRPr="00EB21D2" w:rsidRDefault="003600C4" w:rsidP="00EE066C">
            <w:pPr>
              <w:spacing w:line="360" w:lineRule="auto"/>
            </w:pPr>
            <w:r w:rsidRPr="00EB21D2">
              <w:t>Gedling Colliery Country Park Visitors Centre</w:t>
            </w:r>
          </w:p>
        </w:tc>
        <w:tc>
          <w:tcPr>
            <w:tcW w:w="3351" w:type="dxa"/>
          </w:tcPr>
          <w:p w14:paraId="5E449BB1" w14:textId="57411D98" w:rsidR="00CC7E00" w:rsidRPr="00EB21D2" w:rsidRDefault="00CC7E00" w:rsidP="00EE066C">
            <w:pPr>
              <w:spacing w:line="360" w:lineRule="auto"/>
            </w:pPr>
            <w:r w:rsidRPr="00EB21D2">
              <w:t>To be funded through Strategic portion of CIL Receipts collected.</w:t>
            </w:r>
          </w:p>
        </w:tc>
      </w:tr>
      <w:tr w:rsidR="00205BDF" w:rsidRPr="00205BDF" w14:paraId="553A2D5E" w14:textId="77777777" w:rsidTr="00062847">
        <w:tc>
          <w:tcPr>
            <w:tcW w:w="5665" w:type="dxa"/>
          </w:tcPr>
          <w:p w14:paraId="642C0826" w14:textId="6BBD298A" w:rsidR="00EE066C" w:rsidRPr="00EB21D2" w:rsidRDefault="00EE066C" w:rsidP="00EE066C">
            <w:pPr>
              <w:spacing w:line="360" w:lineRule="auto"/>
            </w:pPr>
            <w:r w:rsidRPr="00EB21D2">
              <w:t>Annual assessment of suitable Infrastructure projects identified in accordance with Regulation 59F of the Community Infrastructure Levy (Amendment) (England) (No. 2) Regulations 2019.</w:t>
            </w:r>
          </w:p>
        </w:tc>
        <w:tc>
          <w:tcPr>
            <w:tcW w:w="3351" w:type="dxa"/>
          </w:tcPr>
          <w:p w14:paraId="0841893A" w14:textId="03F8AEC7" w:rsidR="00EE066C" w:rsidRPr="00EB21D2" w:rsidRDefault="00EE066C" w:rsidP="00EE066C">
            <w:pPr>
              <w:spacing w:line="360" w:lineRule="auto"/>
            </w:pPr>
            <w:r w:rsidRPr="00EB21D2">
              <w:t>To be funded through the Neighbourhood portion of CIL Receipts collected.</w:t>
            </w:r>
          </w:p>
        </w:tc>
      </w:tr>
      <w:tr w:rsidR="00205BDF" w:rsidRPr="00205BDF" w14:paraId="675D65AC" w14:textId="77777777" w:rsidTr="00EE066C">
        <w:tc>
          <w:tcPr>
            <w:tcW w:w="9016" w:type="dxa"/>
            <w:gridSpan w:val="2"/>
            <w:shd w:val="clear" w:color="auto" w:fill="D9D9D9" w:themeFill="background1" w:themeFillShade="D9"/>
          </w:tcPr>
          <w:p w14:paraId="64A6A038" w14:textId="1FF7AC12" w:rsidR="00EE066C" w:rsidRPr="00EB21D2" w:rsidRDefault="00EE066C" w:rsidP="00EE066C">
            <w:pPr>
              <w:spacing w:line="360" w:lineRule="auto"/>
              <w:rPr>
                <w:b/>
              </w:rPr>
            </w:pPr>
            <w:r w:rsidRPr="00EB21D2">
              <w:rPr>
                <w:b/>
              </w:rPr>
              <w:t>Section 106 Contributions</w:t>
            </w:r>
          </w:p>
        </w:tc>
      </w:tr>
      <w:tr w:rsidR="00205BDF" w:rsidRPr="00205BDF" w14:paraId="6B211ECB" w14:textId="77777777" w:rsidTr="00062847">
        <w:tc>
          <w:tcPr>
            <w:tcW w:w="5665" w:type="dxa"/>
          </w:tcPr>
          <w:p w14:paraId="051275D1" w14:textId="4CC9E7B2" w:rsidR="00EE066C" w:rsidRPr="00EB21D2" w:rsidRDefault="00493F15" w:rsidP="00EE066C">
            <w:pPr>
              <w:spacing w:line="360" w:lineRule="auto"/>
            </w:pPr>
            <w:r w:rsidRPr="00EB21D2">
              <w:t>Provision of Affordable Housing Units either on-site of through capital contributions.</w:t>
            </w:r>
          </w:p>
        </w:tc>
        <w:tc>
          <w:tcPr>
            <w:tcW w:w="3351" w:type="dxa"/>
          </w:tcPr>
          <w:p w14:paraId="303E8FD8" w14:textId="06BAE56E" w:rsidR="00EE066C" w:rsidRPr="00EB21D2" w:rsidRDefault="00493F15" w:rsidP="00493F15">
            <w:pPr>
              <w:spacing w:line="360" w:lineRule="auto"/>
            </w:pPr>
            <w:r w:rsidRPr="00EB21D2">
              <w:t>To be secured through Section 106 Obligations.</w:t>
            </w:r>
          </w:p>
        </w:tc>
      </w:tr>
      <w:tr w:rsidR="00205BDF" w:rsidRPr="00205BDF" w14:paraId="17005A3B" w14:textId="77777777" w:rsidTr="00062847">
        <w:tc>
          <w:tcPr>
            <w:tcW w:w="5665" w:type="dxa"/>
          </w:tcPr>
          <w:p w14:paraId="70A73CF7" w14:textId="557AE344" w:rsidR="00EE066C" w:rsidRPr="00EB21D2" w:rsidRDefault="00493F15" w:rsidP="00493F15">
            <w:pPr>
              <w:spacing w:line="360" w:lineRule="auto"/>
            </w:pPr>
            <w:r w:rsidRPr="00EB21D2">
              <w:t xml:space="preserve">Provision of Open Spaces including new infrastructure and improvements to existing sites. </w:t>
            </w:r>
          </w:p>
        </w:tc>
        <w:tc>
          <w:tcPr>
            <w:tcW w:w="3351" w:type="dxa"/>
          </w:tcPr>
          <w:p w14:paraId="5ADACD3C" w14:textId="454797EC" w:rsidR="00EE066C" w:rsidRPr="00EB21D2" w:rsidRDefault="00493F15" w:rsidP="00EE066C">
            <w:pPr>
              <w:spacing w:line="360" w:lineRule="auto"/>
            </w:pPr>
            <w:r w:rsidRPr="00EB21D2">
              <w:t>To be secured through Section 106 Obligations.</w:t>
            </w:r>
          </w:p>
        </w:tc>
      </w:tr>
      <w:tr w:rsidR="00205BDF" w:rsidRPr="00205BDF" w14:paraId="71D41F34" w14:textId="77777777" w:rsidTr="00062847">
        <w:trPr>
          <w:trHeight w:val="934"/>
        </w:trPr>
        <w:tc>
          <w:tcPr>
            <w:tcW w:w="5665" w:type="dxa"/>
          </w:tcPr>
          <w:p w14:paraId="79F1274C" w14:textId="238C1760" w:rsidR="00493F15" w:rsidRPr="00EB21D2" w:rsidRDefault="00493F15" w:rsidP="00493F15">
            <w:pPr>
              <w:spacing w:line="360" w:lineRule="auto"/>
            </w:pPr>
            <w:r w:rsidRPr="00EB21D2">
              <w:t>Provision for Primary Healthcare including new infrastructure and improvements of existing surgeries.</w:t>
            </w:r>
          </w:p>
        </w:tc>
        <w:tc>
          <w:tcPr>
            <w:tcW w:w="3351" w:type="dxa"/>
          </w:tcPr>
          <w:p w14:paraId="337D87EB" w14:textId="27C013A7" w:rsidR="00493F15" w:rsidRPr="00EB21D2" w:rsidRDefault="00493F15" w:rsidP="00493F15">
            <w:pPr>
              <w:spacing w:line="360" w:lineRule="auto"/>
            </w:pPr>
            <w:r w:rsidRPr="00EB21D2">
              <w:t xml:space="preserve">To be secured through Section 106 Obligations. </w:t>
            </w:r>
          </w:p>
        </w:tc>
      </w:tr>
      <w:tr w:rsidR="000E0292" w:rsidRPr="00205BDF" w14:paraId="1E8525FB" w14:textId="77777777" w:rsidTr="00062847">
        <w:trPr>
          <w:trHeight w:val="934"/>
        </w:trPr>
        <w:tc>
          <w:tcPr>
            <w:tcW w:w="5665" w:type="dxa"/>
          </w:tcPr>
          <w:p w14:paraId="1D31AB1C" w14:textId="5A6F5C12" w:rsidR="003600C4" w:rsidRPr="00EB21D2" w:rsidRDefault="003600C4" w:rsidP="003600C4">
            <w:pPr>
              <w:spacing w:line="360" w:lineRule="auto"/>
            </w:pPr>
            <w:r w:rsidRPr="00EB21D2">
              <w:t>Any other future infrastructure which is deemed necessary, in accordance with the Community Infrastructure Levy (Amendment) (England) (No. 2) Regulations 2019</w:t>
            </w:r>
          </w:p>
        </w:tc>
        <w:tc>
          <w:tcPr>
            <w:tcW w:w="3351" w:type="dxa"/>
          </w:tcPr>
          <w:p w14:paraId="157E04A7" w14:textId="2620087B" w:rsidR="003600C4" w:rsidRPr="00EB21D2" w:rsidRDefault="003600C4" w:rsidP="003600C4">
            <w:pPr>
              <w:spacing w:line="360" w:lineRule="auto"/>
            </w:pPr>
            <w:r w:rsidRPr="00EB21D2">
              <w:t xml:space="preserve">To be secured through Section 106 Obligations. </w:t>
            </w:r>
          </w:p>
        </w:tc>
      </w:tr>
    </w:tbl>
    <w:p w14:paraId="4C444AA5" w14:textId="77777777" w:rsidR="004C126B" w:rsidRPr="00205BDF" w:rsidRDefault="004C126B" w:rsidP="008619DA">
      <w:pPr>
        <w:pStyle w:val="NoSpacing"/>
        <w:rPr>
          <w:color w:val="FF0000"/>
        </w:rPr>
      </w:pPr>
    </w:p>
    <w:p w14:paraId="75CB8B33" w14:textId="46F5765D" w:rsidR="00062847" w:rsidRPr="00F0619A" w:rsidRDefault="004C126B" w:rsidP="006A7A1D">
      <w:pPr>
        <w:spacing w:line="360" w:lineRule="auto"/>
        <w:jc w:val="both"/>
      </w:pPr>
      <w:r w:rsidRPr="00F0619A">
        <w:t>The above is not a final account of all infrastructure that may be funded through Planning Obligations</w:t>
      </w:r>
      <w:r w:rsidR="008619DA" w:rsidRPr="00F0619A">
        <w:t>.</w:t>
      </w:r>
      <w:r w:rsidRPr="00F0619A">
        <w:t xml:space="preserve"> The Infrastructure List will be monitored and </w:t>
      </w:r>
      <w:r w:rsidR="008619DA" w:rsidRPr="00F0619A">
        <w:t xml:space="preserve">may be </w:t>
      </w:r>
      <w:r w:rsidRPr="00F0619A">
        <w:t xml:space="preserve">updated accordingly to represent new </w:t>
      </w:r>
      <w:r w:rsidR="008619DA" w:rsidRPr="00F0619A">
        <w:t>projects</w:t>
      </w:r>
      <w:r w:rsidRPr="00F0619A">
        <w:t xml:space="preserve"> that are </w:t>
      </w:r>
      <w:r w:rsidR="008619DA" w:rsidRPr="00F0619A">
        <w:t>identified in the future</w:t>
      </w:r>
      <w:r w:rsidRPr="00F0619A">
        <w:t xml:space="preserve">. </w:t>
      </w:r>
    </w:p>
    <w:p w14:paraId="51CAA321" w14:textId="5390C98D" w:rsidR="00062847" w:rsidRPr="00F0619A" w:rsidRDefault="00062847" w:rsidP="006A7A1D">
      <w:pPr>
        <w:spacing w:line="360" w:lineRule="auto"/>
        <w:jc w:val="both"/>
      </w:pPr>
      <w:r w:rsidRPr="00F0619A">
        <w:lastRenderedPageBreak/>
        <w:t>If you have any further queries or co</w:t>
      </w:r>
      <w:r w:rsidR="00BF063F" w:rsidRPr="00F0619A">
        <w:t xml:space="preserve">mments about this statement, please do not hesitate to contact us via email at </w:t>
      </w:r>
      <w:hyperlink r:id="rId19" w:history="1">
        <w:r w:rsidR="00BF063F" w:rsidRPr="00F0619A">
          <w:rPr>
            <w:rStyle w:val="Hyperlink"/>
            <w:color w:val="auto"/>
          </w:rPr>
          <w:t>CIL@gedling.gov.uk</w:t>
        </w:r>
      </w:hyperlink>
      <w:r w:rsidR="00BF063F" w:rsidRPr="00F0619A">
        <w:t xml:space="preserve"> or phone on 0115 901 3731.</w:t>
      </w:r>
    </w:p>
    <w:p w14:paraId="75A34D9E" w14:textId="77777777" w:rsidR="00062847" w:rsidRPr="003D75F7" w:rsidRDefault="00062847" w:rsidP="004C126B">
      <w:pPr>
        <w:spacing w:line="360" w:lineRule="auto"/>
        <w:rPr>
          <w:color w:val="FF0000"/>
        </w:rPr>
      </w:pPr>
    </w:p>
    <w:sectPr w:rsidR="00062847" w:rsidRPr="003D75F7" w:rsidSect="003E47A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5CD4F" w14:textId="77777777" w:rsidR="00582596" w:rsidRDefault="00582596" w:rsidP="007A7283">
      <w:pPr>
        <w:spacing w:after="0" w:line="240" w:lineRule="auto"/>
      </w:pPr>
      <w:r>
        <w:separator/>
      </w:r>
    </w:p>
  </w:endnote>
  <w:endnote w:type="continuationSeparator" w:id="0">
    <w:p w14:paraId="5145AE51" w14:textId="77777777" w:rsidR="00582596" w:rsidRDefault="00582596" w:rsidP="007A7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792132"/>
      <w:docPartObj>
        <w:docPartGallery w:val="Page Numbers (Bottom of Page)"/>
        <w:docPartUnique/>
      </w:docPartObj>
    </w:sdtPr>
    <w:sdtEndPr/>
    <w:sdtContent>
      <w:p w14:paraId="57570555" w14:textId="58C32063" w:rsidR="00FF1A7D" w:rsidRDefault="00FF1A7D">
        <w:pPr>
          <w:pStyle w:val="Footer"/>
          <w:jc w:val="center"/>
        </w:pPr>
        <w:r>
          <w:fldChar w:fldCharType="begin"/>
        </w:r>
        <w:r>
          <w:instrText>PAGE   \* MERGEFORMAT</w:instrText>
        </w:r>
        <w:r>
          <w:fldChar w:fldCharType="separate"/>
        </w:r>
        <w:r>
          <w:t>2</w:t>
        </w:r>
        <w:r>
          <w:fldChar w:fldCharType="end"/>
        </w:r>
      </w:p>
    </w:sdtContent>
  </w:sdt>
  <w:p w14:paraId="44777976" w14:textId="77777777" w:rsidR="00582596" w:rsidRDefault="005825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2DC55B" w14:textId="77777777" w:rsidR="00582596" w:rsidRDefault="00582596" w:rsidP="007A7283">
      <w:pPr>
        <w:spacing w:after="0" w:line="240" w:lineRule="auto"/>
      </w:pPr>
      <w:r>
        <w:separator/>
      </w:r>
    </w:p>
  </w:footnote>
  <w:footnote w:type="continuationSeparator" w:id="0">
    <w:p w14:paraId="08260DCD" w14:textId="77777777" w:rsidR="00582596" w:rsidRDefault="00582596" w:rsidP="007A72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3CF8"/>
    <w:multiLevelType w:val="multilevel"/>
    <w:tmpl w:val="8978663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E43011"/>
    <w:multiLevelType w:val="hybridMultilevel"/>
    <w:tmpl w:val="3A74C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E0B54"/>
    <w:multiLevelType w:val="hybridMultilevel"/>
    <w:tmpl w:val="5D70E490"/>
    <w:lvl w:ilvl="0" w:tplc="718C76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391ABC"/>
    <w:multiLevelType w:val="hybridMultilevel"/>
    <w:tmpl w:val="994EACB2"/>
    <w:lvl w:ilvl="0" w:tplc="81FAB1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5D7C3C"/>
    <w:multiLevelType w:val="hybridMultilevel"/>
    <w:tmpl w:val="5DC23F26"/>
    <w:lvl w:ilvl="0" w:tplc="C38C4F22">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E158DF"/>
    <w:multiLevelType w:val="hybridMultilevel"/>
    <w:tmpl w:val="DE424462"/>
    <w:lvl w:ilvl="0" w:tplc="F0E2C25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4986E24"/>
    <w:multiLevelType w:val="hybridMultilevel"/>
    <w:tmpl w:val="59EE7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B13923"/>
    <w:multiLevelType w:val="multilevel"/>
    <w:tmpl w:val="933E49C6"/>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b w:val="0"/>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8" w15:restartNumberingAfterBreak="0">
    <w:nsid w:val="37E63D6C"/>
    <w:multiLevelType w:val="hybridMultilevel"/>
    <w:tmpl w:val="2BDE29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0A0683"/>
    <w:multiLevelType w:val="multilevel"/>
    <w:tmpl w:val="EBAA57B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883016C"/>
    <w:multiLevelType w:val="hybridMultilevel"/>
    <w:tmpl w:val="478C33AC"/>
    <w:lvl w:ilvl="0" w:tplc="74D45DFE">
      <w:start w:val="10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C30EC"/>
    <w:multiLevelType w:val="multilevel"/>
    <w:tmpl w:val="52669766"/>
    <w:lvl w:ilvl="0">
      <w:start w:val="1"/>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2" w15:restartNumberingAfterBreak="0">
    <w:nsid w:val="68EA2E57"/>
    <w:multiLevelType w:val="multilevel"/>
    <w:tmpl w:val="9D72A60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2283406"/>
    <w:multiLevelType w:val="hybridMultilevel"/>
    <w:tmpl w:val="110A1EE8"/>
    <w:lvl w:ilvl="0" w:tplc="4B4E70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890498"/>
    <w:multiLevelType w:val="hybridMultilevel"/>
    <w:tmpl w:val="A8649C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F2037A8"/>
    <w:multiLevelType w:val="multilevel"/>
    <w:tmpl w:val="E684F5E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16cid:durableId="30038502">
    <w:abstractNumId w:val="12"/>
  </w:num>
  <w:num w:numId="2" w16cid:durableId="778336777">
    <w:abstractNumId w:val="8"/>
  </w:num>
  <w:num w:numId="3" w16cid:durableId="650255058">
    <w:abstractNumId w:val="3"/>
  </w:num>
  <w:num w:numId="4" w16cid:durableId="1437091340">
    <w:abstractNumId w:val="13"/>
  </w:num>
  <w:num w:numId="5" w16cid:durableId="1142305957">
    <w:abstractNumId w:val="0"/>
  </w:num>
  <w:num w:numId="6" w16cid:durableId="721755026">
    <w:abstractNumId w:val="11"/>
  </w:num>
  <w:num w:numId="7" w16cid:durableId="2017615571">
    <w:abstractNumId w:val="10"/>
  </w:num>
  <w:num w:numId="8" w16cid:durableId="1487625399">
    <w:abstractNumId w:val="15"/>
  </w:num>
  <w:num w:numId="9" w16cid:durableId="779490195">
    <w:abstractNumId w:val="14"/>
  </w:num>
  <w:num w:numId="10" w16cid:durableId="1366639897">
    <w:abstractNumId w:val="2"/>
  </w:num>
  <w:num w:numId="11" w16cid:durableId="361594489">
    <w:abstractNumId w:val="9"/>
  </w:num>
  <w:num w:numId="12" w16cid:durableId="1465387341">
    <w:abstractNumId w:val="7"/>
  </w:num>
  <w:num w:numId="13" w16cid:durableId="1327707964">
    <w:abstractNumId w:val="1"/>
  </w:num>
  <w:num w:numId="14" w16cid:durableId="1743062613">
    <w:abstractNumId w:val="6"/>
  </w:num>
  <w:num w:numId="15" w16cid:durableId="1901475469">
    <w:abstractNumId w:val="5"/>
  </w:num>
  <w:num w:numId="16" w16cid:durableId="414323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6BD"/>
    <w:rsid w:val="00000656"/>
    <w:rsid w:val="00007E5E"/>
    <w:rsid w:val="000142C1"/>
    <w:rsid w:val="00015CAE"/>
    <w:rsid w:val="00016F26"/>
    <w:rsid w:val="0002115C"/>
    <w:rsid w:val="00022671"/>
    <w:rsid w:val="00034635"/>
    <w:rsid w:val="00035725"/>
    <w:rsid w:val="00041A42"/>
    <w:rsid w:val="00043A6E"/>
    <w:rsid w:val="00046B12"/>
    <w:rsid w:val="00047B68"/>
    <w:rsid w:val="00051CBA"/>
    <w:rsid w:val="00052753"/>
    <w:rsid w:val="00060912"/>
    <w:rsid w:val="00061DB7"/>
    <w:rsid w:val="00062847"/>
    <w:rsid w:val="00090EF0"/>
    <w:rsid w:val="00092587"/>
    <w:rsid w:val="00093580"/>
    <w:rsid w:val="000C062A"/>
    <w:rsid w:val="000C1341"/>
    <w:rsid w:val="000C3B1C"/>
    <w:rsid w:val="000C73E8"/>
    <w:rsid w:val="000C7D5D"/>
    <w:rsid w:val="000D03E1"/>
    <w:rsid w:val="000D38CC"/>
    <w:rsid w:val="000D3D99"/>
    <w:rsid w:val="000D776D"/>
    <w:rsid w:val="000E0292"/>
    <w:rsid w:val="000E2418"/>
    <w:rsid w:val="000E3064"/>
    <w:rsid w:val="000E749D"/>
    <w:rsid w:val="000E751C"/>
    <w:rsid w:val="000F00A7"/>
    <w:rsid w:val="000F39AB"/>
    <w:rsid w:val="000F3C56"/>
    <w:rsid w:val="0010187C"/>
    <w:rsid w:val="001025D5"/>
    <w:rsid w:val="00110BE6"/>
    <w:rsid w:val="00111048"/>
    <w:rsid w:val="00111A98"/>
    <w:rsid w:val="001126A9"/>
    <w:rsid w:val="001163AB"/>
    <w:rsid w:val="00116F86"/>
    <w:rsid w:val="00116F9D"/>
    <w:rsid w:val="00141753"/>
    <w:rsid w:val="00141A70"/>
    <w:rsid w:val="00142709"/>
    <w:rsid w:val="001473A2"/>
    <w:rsid w:val="00151D8D"/>
    <w:rsid w:val="00154645"/>
    <w:rsid w:val="001564FF"/>
    <w:rsid w:val="00156C25"/>
    <w:rsid w:val="00170E02"/>
    <w:rsid w:val="00173674"/>
    <w:rsid w:val="00173C6D"/>
    <w:rsid w:val="00173D03"/>
    <w:rsid w:val="001756C9"/>
    <w:rsid w:val="0017715F"/>
    <w:rsid w:val="00177A12"/>
    <w:rsid w:val="0018058E"/>
    <w:rsid w:val="00183581"/>
    <w:rsid w:val="00185BD2"/>
    <w:rsid w:val="00191747"/>
    <w:rsid w:val="001B09AC"/>
    <w:rsid w:val="001B4DCC"/>
    <w:rsid w:val="001C36F0"/>
    <w:rsid w:val="001C3AEB"/>
    <w:rsid w:val="001D018B"/>
    <w:rsid w:val="001D5A44"/>
    <w:rsid w:val="001D76FE"/>
    <w:rsid w:val="001F1916"/>
    <w:rsid w:val="001F26BA"/>
    <w:rsid w:val="001F6F44"/>
    <w:rsid w:val="00205A6F"/>
    <w:rsid w:val="00205BDF"/>
    <w:rsid w:val="002069D7"/>
    <w:rsid w:val="00210856"/>
    <w:rsid w:val="0021584B"/>
    <w:rsid w:val="002231CE"/>
    <w:rsid w:val="00226557"/>
    <w:rsid w:val="00242315"/>
    <w:rsid w:val="002431C0"/>
    <w:rsid w:val="00243222"/>
    <w:rsid w:val="0024691E"/>
    <w:rsid w:val="002514BC"/>
    <w:rsid w:val="00252301"/>
    <w:rsid w:val="00253BFF"/>
    <w:rsid w:val="00262955"/>
    <w:rsid w:val="00264145"/>
    <w:rsid w:val="00265CDE"/>
    <w:rsid w:val="00266FDF"/>
    <w:rsid w:val="00271A9A"/>
    <w:rsid w:val="00271BC5"/>
    <w:rsid w:val="002755B0"/>
    <w:rsid w:val="002869E2"/>
    <w:rsid w:val="00291CDF"/>
    <w:rsid w:val="002A1331"/>
    <w:rsid w:val="002A2B21"/>
    <w:rsid w:val="002A36F4"/>
    <w:rsid w:val="002A380A"/>
    <w:rsid w:val="002A653E"/>
    <w:rsid w:val="002A7C1B"/>
    <w:rsid w:val="002A7E60"/>
    <w:rsid w:val="002B1F60"/>
    <w:rsid w:val="002B3DA2"/>
    <w:rsid w:val="002B4796"/>
    <w:rsid w:val="002C1A35"/>
    <w:rsid w:val="002C35EA"/>
    <w:rsid w:val="002C390E"/>
    <w:rsid w:val="002E21DD"/>
    <w:rsid w:val="002E3524"/>
    <w:rsid w:val="002E5EFE"/>
    <w:rsid w:val="002E6992"/>
    <w:rsid w:val="002F029C"/>
    <w:rsid w:val="002F04BC"/>
    <w:rsid w:val="002F7BEC"/>
    <w:rsid w:val="00301EB8"/>
    <w:rsid w:val="00302DD1"/>
    <w:rsid w:val="003252E3"/>
    <w:rsid w:val="003402C4"/>
    <w:rsid w:val="003407E7"/>
    <w:rsid w:val="0034510F"/>
    <w:rsid w:val="00345FAD"/>
    <w:rsid w:val="00347BD8"/>
    <w:rsid w:val="00353460"/>
    <w:rsid w:val="0035518C"/>
    <w:rsid w:val="003600C4"/>
    <w:rsid w:val="00371E29"/>
    <w:rsid w:val="00377CCD"/>
    <w:rsid w:val="00380E9F"/>
    <w:rsid w:val="00381008"/>
    <w:rsid w:val="00381409"/>
    <w:rsid w:val="0038148F"/>
    <w:rsid w:val="00382839"/>
    <w:rsid w:val="00387196"/>
    <w:rsid w:val="00393122"/>
    <w:rsid w:val="00396C6D"/>
    <w:rsid w:val="00397C27"/>
    <w:rsid w:val="003A1D66"/>
    <w:rsid w:val="003A7E34"/>
    <w:rsid w:val="003C0DF1"/>
    <w:rsid w:val="003C0E74"/>
    <w:rsid w:val="003C490E"/>
    <w:rsid w:val="003D2A66"/>
    <w:rsid w:val="003D75F7"/>
    <w:rsid w:val="003E47AA"/>
    <w:rsid w:val="003F388F"/>
    <w:rsid w:val="003F6A9E"/>
    <w:rsid w:val="00406C04"/>
    <w:rsid w:val="0041031C"/>
    <w:rsid w:val="004165FB"/>
    <w:rsid w:val="00427A9C"/>
    <w:rsid w:val="00431692"/>
    <w:rsid w:val="00432C99"/>
    <w:rsid w:val="00432F93"/>
    <w:rsid w:val="00443ECB"/>
    <w:rsid w:val="00444A7C"/>
    <w:rsid w:val="0044563A"/>
    <w:rsid w:val="004551B6"/>
    <w:rsid w:val="00457D90"/>
    <w:rsid w:val="00461EBB"/>
    <w:rsid w:val="00473E2D"/>
    <w:rsid w:val="00481C9D"/>
    <w:rsid w:val="00482885"/>
    <w:rsid w:val="00491559"/>
    <w:rsid w:val="00493F15"/>
    <w:rsid w:val="004A0501"/>
    <w:rsid w:val="004A1080"/>
    <w:rsid w:val="004A212C"/>
    <w:rsid w:val="004A3925"/>
    <w:rsid w:val="004A3B03"/>
    <w:rsid w:val="004A7FB8"/>
    <w:rsid w:val="004B0396"/>
    <w:rsid w:val="004B1EAA"/>
    <w:rsid w:val="004B545D"/>
    <w:rsid w:val="004C126B"/>
    <w:rsid w:val="004C5E73"/>
    <w:rsid w:val="004C5F10"/>
    <w:rsid w:val="004C6183"/>
    <w:rsid w:val="004C72F8"/>
    <w:rsid w:val="004D05F0"/>
    <w:rsid w:val="004D249A"/>
    <w:rsid w:val="004D26E4"/>
    <w:rsid w:val="004D4AB9"/>
    <w:rsid w:val="004D4B23"/>
    <w:rsid w:val="004D5567"/>
    <w:rsid w:val="004D6E25"/>
    <w:rsid w:val="004D7966"/>
    <w:rsid w:val="004E6182"/>
    <w:rsid w:val="004E7E38"/>
    <w:rsid w:val="004F28A5"/>
    <w:rsid w:val="00501E1A"/>
    <w:rsid w:val="00503712"/>
    <w:rsid w:val="00513164"/>
    <w:rsid w:val="00516AC7"/>
    <w:rsid w:val="00517D97"/>
    <w:rsid w:val="00521007"/>
    <w:rsid w:val="00521574"/>
    <w:rsid w:val="0052338D"/>
    <w:rsid w:val="005258B1"/>
    <w:rsid w:val="005266B2"/>
    <w:rsid w:val="00531DA8"/>
    <w:rsid w:val="00532FFB"/>
    <w:rsid w:val="00536B95"/>
    <w:rsid w:val="0055184A"/>
    <w:rsid w:val="00553705"/>
    <w:rsid w:val="00557D6F"/>
    <w:rsid w:val="00557F9B"/>
    <w:rsid w:val="00572D26"/>
    <w:rsid w:val="0057598D"/>
    <w:rsid w:val="00581AB0"/>
    <w:rsid w:val="00582596"/>
    <w:rsid w:val="00585A62"/>
    <w:rsid w:val="00586650"/>
    <w:rsid w:val="005A1C0A"/>
    <w:rsid w:val="005B5DDF"/>
    <w:rsid w:val="005B63B1"/>
    <w:rsid w:val="005B751C"/>
    <w:rsid w:val="005C06C5"/>
    <w:rsid w:val="005D145D"/>
    <w:rsid w:val="005E50DC"/>
    <w:rsid w:val="005E608E"/>
    <w:rsid w:val="005E7419"/>
    <w:rsid w:val="005F1751"/>
    <w:rsid w:val="005F2F66"/>
    <w:rsid w:val="005F3329"/>
    <w:rsid w:val="005F3BCA"/>
    <w:rsid w:val="00601818"/>
    <w:rsid w:val="006073C3"/>
    <w:rsid w:val="00611F5F"/>
    <w:rsid w:val="006121F8"/>
    <w:rsid w:val="00615DE7"/>
    <w:rsid w:val="00621100"/>
    <w:rsid w:val="0062430F"/>
    <w:rsid w:val="00635413"/>
    <w:rsid w:val="00635CF3"/>
    <w:rsid w:val="0064005E"/>
    <w:rsid w:val="006410DC"/>
    <w:rsid w:val="006412DD"/>
    <w:rsid w:val="0064197B"/>
    <w:rsid w:val="00644934"/>
    <w:rsid w:val="00644BE4"/>
    <w:rsid w:val="006515A8"/>
    <w:rsid w:val="00653A8E"/>
    <w:rsid w:val="0065685A"/>
    <w:rsid w:val="00690321"/>
    <w:rsid w:val="006A5174"/>
    <w:rsid w:val="006A593C"/>
    <w:rsid w:val="006A7A1D"/>
    <w:rsid w:val="006B3E83"/>
    <w:rsid w:val="006B4BD3"/>
    <w:rsid w:val="006B5F25"/>
    <w:rsid w:val="006C2BFF"/>
    <w:rsid w:val="006C3632"/>
    <w:rsid w:val="006D7A92"/>
    <w:rsid w:val="006E26E8"/>
    <w:rsid w:val="006F1F03"/>
    <w:rsid w:val="00701A81"/>
    <w:rsid w:val="00707A89"/>
    <w:rsid w:val="00711F93"/>
    <w:rsid w:val="00713973"/>
    <w:rsid w:val="00716103"/>
    <w:rsid w:val="00717E05"/>
    <w:rsid w:val="00720232"/>
    <w:rsid w:val="0072449B"/>
    <w:rsid w:val="00732540"/>
    <w:rsid w:val="00732BCE"/>
    <w:rsid w:val="00743BC3"/>
    <w:rsid w:val="007448CA"/>
    <w:rsid w:val="007471E3"/>
    <w:rsid w:val="00747A8F"/>
    <w:rsid w:val="007526C5"/>
    <w:rsid w:val="00760FDD"/>
    <w:rsid w:val="00760FF9"/>
    <w:rsid w:val="00761DA8"/>
    <w:rsid w:val="007642C7"/>
    <w:rsid w:val="00767471"/>
    <w:rsid w:val="0077518B"/>
    <w:rsid w:val="0078351E"/>
    <w:rsid w:val="0079031B"/>
    <w:rsid w:val="007932ED"/>
    <w:rsid w:val="007A7283"/>
    <w:rsid w:val="007A75B3"/>
    <w:rsid w:val="007B0038"/>
    <w:rsid w:val="007B0740"/>
    <w:rsid w:val="007B2BD0"/>
    <w:rsid w:val="007C08DC"/>
    <w:rsid w:val="007C23DC"/>
    <w:rsid w:val="007C38F3"/>
    <w:rsid w:val="007C3E3C"/>
    <w:rsid w:val="007C529B"/>
    <w:rsid w:val="007C64D5"/>
    <w:rsid w:val="007D43E8"/>
    <w:rsid w:val="007D5BDB"/>
    <w:rsid w:val="007D7E31"/>
    <w:rsid w:val="007E0324"/>
    <w:rsid w:val="007E047A"/>
    <w:rsid w:val="007E0A8B"/>
    <w:rsid w:val="007E6247"/>
    <w:rsid w:val="007F3586"/>
    <w:rsid w:val="007F654B"/>
    <w:rsid w:val="0080583B"/>
    <w:rsid w:val="0080710B"/>
    <w:rsid w:val="00810EDF"/>
    <w:rsid w:val="00812515"/>
    <w:rsid w:val="00820DC3"/>
    <w:rsid w:val="00821058"/>
    <w:rsid w:val="008250F4"/>
    <w:rsid w:val="008277DF"/>
    <w:rsid w:val="00835CC0"/>
    <w:rsid w:val="00835CF0"/>
    <w:rsid w:val="00842BA9"/>
    <w:rsid w:val="008534D5"/>
    <w:rsid w:val="008619DA"/>
    <w:rsid w:val="00863A79"/>
    <w:rsid w:val="008659A4"/>
    <w:rsid w:val="0087234E"/>
    <w:rsid w:val="008727DE"/>
    <w:rsid w:val="00875245"/>
    <w:rsid w:val="00881F97"/>
    <w:rsid w:val="00883011"/>
    <w:rsid w:val="0089084F"/>
    <w:rsid w:val="00891289"/>
    <w:rsid w:val="00894489"/>
    <w:rsid w:val="00895202"/>
    <w:rsid w:val="00895591"/>
    <w:rsid w:val="008B2479"/>
    <w:rsid w:val="008B25DD"/>
    <w:rsid w:val="008B60DD"/>
    <w:rsid w:val="008C7CDA"/>
    <w:rsid w:val="008E294B"/>
    <w:rsid w:val="008E7A23"/>
    <w:rsid w:val="008F5C07"/>
    <w:rsid w:val="00900449"/>
    <w:rsid w:val="009016BD"/>
    <w:rsid w:val="009040A1"/>
    <w:rsid w:val="00906DD7"/>
    <w:rsid w:val="00911872"/>
    <w:rsid w:val="00925624"/>
    <w:rsid w:val="009270BB"/>
    <w:rsid w:val="00934C91"/>
    <w:rsid w:val="00937A0E"/>
    <w:rsid w:val="00945EE9"/>
    <w:rsid w:val="00946F05"/>
    <w:rsid w:val="00952491"/>
    <w:rsid w:val="00956837"/>
    <w:rsid w:val="0095720F"/>
    <w:rsid w:val="00965CA2"/>
    <w:rsid w:val="00967BC2"/>
    <w:rsid w:val="00981584"/>
    <w:rsid w:val="0098272D"/>
    <w:rsid w:val="009914E0"/>
    <w:rsid w:val="0099215C"/>
    <w:rsid w:val="00992685"/>
    <w:rsid w:val="009943CA"/>
    <w:rsid w:val="009964CC"/>
    <w:rsid w:val="009A3718"/>
    <w:rsid w:val="009A6FF0"/>
    <w:rsid w:val="009B0309"/>
    <w:rsid w:val="009B1DC3"/>
    <w:rsid w:val="009B6C34"/>
    <w:rsid w:val="009C2EDC"/>
    <w:rsid w:val="009C34C7"/>
    <w:rsid w:val="009C45E1"/>
    <w:rsid w:val="009C7889"/>
    <w:rsid w:val="009D1F10"/>
    <w:rsid w:val="009D2CAC"/>
    <w:rsid w:val="009D41A8"/>
    <w:rsid w:val="009E6942"/>
    <w:rsid w:val="009E7F57"/>
    <w:rsid w:val="009F151E"/>
    <w:rsid w:val="009F7521"/>
    <w:rsid w:val="00A1098C"/>
    <w:rsid w:val="00A16D80"/>
    <w:rsid w:val="00A213A0"/>
    <w:rsid w:val="00A239BC"/>
    <w:rsid w:val="00A2612B"/>
    <w:rsid w:val="00A27479"/>
    <w:rsid w:val="00A302B2"/>
    <w:rsid w:val="00A359F3"/>
    <w:rsid w:val="00A366E1"/>
    <w:rsid w:val="00A420CB"/>
    <w:rsid w:val="00A42B43"/>
    <w:rsid w:val="00A42F43"/>
    <w:rsid w:val="00A4343E"/>
    <w:rsid w:val="00A557E1"/>
    <w:rsid w:val="00A56B11"/>
    <w:rsid w:val="00A573F8"/>
    <w:rsid w:val="00A60B01"/>
    <w:rsid w:val="00A67D89"/>
    <w:rsid w:val="00A73D45"/>
    <w:rsid w:val="00A76914"/>
    <w:rsid w:val="00A80B3E"/>
    <w:rsid w:val="00A8339D"/>
    <w:rsid w:val="00A9169C"/>
    <w:rsid w:val="00A976BD"/>
    <w:rsid w:val="00AA1AC6"/>
    <w:rsid w:val="00AA28AB"/>
    <w:rsid w:val="00AB6C96"/>
    <w:rsid w:val="00AC233B"/>
    <w:rsid w:val="00AC465F"/>
    <w:rsid w:val="00AC4871"/>
    <w:rsid w:val="00AC60F8"/>
    <w:rsid w:val="00AE2643"/>
    <w:rsid w:val="00AE65D6"/>
    <w:rsid w:val="00B13CDE"/>
    <w:rsid w:val="00B1459D"/>
    <w:rsid w:val="00B15683"/>
    <w:rsid w:val="00B20278"/>
    <w:rsid w:val="00B23759"/>
    <w:rsid w:val="00B244AA"/>
    <w:rsid w:val="00B35BD6"/>
    <w:rsid w:val="00B41596"/>
    <w:rsid w:val="00B42796"/>
    <w:rsid w:val="00B42E6D"/>
    <w:rsid w:val="00B51619"/>
    <w:rsid w:val="00B52A61"/>
    <w:rsid w:val="00B5343C"/>
    <w:rsid w:val="00B546C1"/>
    <w:rsid w:val="00B6059D"/>
    <w:rsid w:val="00B66141"/>
    <w:rsid w:val="00B70945"/>
    <w:rsid w:val="00B72C0E"/>
    <w:rsid w:val="00B8193E"/>
    <w:rsid w:val="00B87A33"/>
    <w:rsid w:val="00B92B8C"/>
    <w:rsid w:val="00B93B62"/>
    <w:rsid w:val="00BA7D1B"/>
    <w:rsid w:val="00BB3646"/>
    <w:rsid w:val="00BB56BA"/>
    <w:rsid w:val="00BC071E"/>
    <w:rsid w:val="00BC3354"/>
    <w:rsid w:val="00BC620B"/>
    <w:rsid w:val="00BC65B3"/>
    <w:rsid w:val="00BE39DC"/>
    <w:rsid w:val="00BF063F"/>
    <w:rsid w:val="00C05C39"/>
    <w:rsid w:val="00C07006"/>
    <w:rsid w:val="00C11EC0"/>
    <w:rsid w:val="00C154E9"/>
    <w:rsid w:val="00C161CB"/>
    <w:rsid w:val="00C24A22"/>
    <w:rsid w:val="00C26A9F"/>
    <w:rsid w:val="00C40E71"/>
    <w:rsid w:val="00C43B8D"/>
    <w:rsid w:val="00C47515"/>
    <w:rsid w:val="00C51729"/>
    <w:rsid w:val="00C53A37"/>
    <w:rsid w:val="00C540DE"/>
    <w:rsid w:val="00C61D0F"/>
    <w:rsid w:val="00C62A42"/>
    <w:rsid w:val="00C7095F"/>
    <w:rsid w:val="00C73A39"/>
    <w:rsid w:val="00C8306F"/>
    <w:rsid w:val="00C83CF8"/>
    <w:rsid w:val="00C852CC"/>
    <w:rsid w:val="00C868F1"/>
    <w:rsid w:val="00C919DA"/>
    <w:rsid w:val="00C955C7"/>
    <w:rsid w:val="00C979CF"/>
    <w:rsid w:val="00CA5422"/>
    <w:rsid w:val="00CB230B"/>
    <w:rsid w:val="00CB5DF4"/>
    <w:rsid w:val="00CC1A74"/>
    <w:rsid w:val="00CC4729"/>
    <w:rsid w:val="00CC6E64"/>
    <w:rsid w:val="00CC7E00"/>
    <w:rsid w:val="00CD12AD"/>
    <w:rsid w:val="00CD2E6E"/>
    <w:rsid w:val="00CD609E"/>
    <w:rsid w:val="00CE5343"/>
    <w:rsid w:val="00CF0996"/>
    <w:rsid w:val="00CF0C82"/>
    <w:rsid w:val="00D15B1C"/>
    <w:rsid w:val="00D16317"/>
    <w:rsid w:val="00D16C21"/>
    <w:rsid w:val="00D217F6"/>
    <w:rsid w:val="00D273B9"/>
    <w:rsid w:val="00D30610"/>
    <w:rsid w:val="00D31680"/>
    <w:rsid w:val="00D46053"/>
    <w:rsid w:val="00D463C3"/>
    <w:rsid w:val="00D63C33"/>
    <w:rsid w:val="00D70BF3"/>
    <w:rsid w:val="00D72542"/>
    <w:rsid w:val="00D7470E"/>
    <w:rsid w:val="00D74A08"/>
    <w:rsid w:val="00D761FF"/>
    <w:rsid w:val="00D86D7F"/>
    <w:rsid w:val="00D91DF1"/>
    <w:rsid w:val="00D9560E"/>
    <w:rsid w:val="00DA4A6D"/>
    <w:rsid w:val="00DB06FA"/>
    <w:rsid w:val="00DB2F69"/>
    <w:rsid w:val="00DB3A4E"/>
    <w:rsid w:val="00DB4155"/>
    <w:rsid w:val="00DD5552"/>
    <w:rsid w:val="00DE66AD"/>
    <w:rsid w:val="00DF1B9B"/>
    <w:rsid w:val="00DF78C7"/>
    <w:rsid w:val="00E0072E"/>
    <w:rsid w:val="00E029B0"/>
    <w:rsid w:val="00E07724"/>
    <w:rsid w:val="00E16B8F"/>
    <w:rsid w:val="00E2382C"/>
    <w:rsid w:val="00E2727A"/>
    <w:rsid w:val="00E373FE"/>
    <w:rsid w:val="00E3760A"/>
    <w:rsid w:val="00E447D9"/>
    <w:rsid w:val="00E4503D"/>
    <w:rsid w:val="00E45967"/>
    <w:rsid w:val="00E46E17"/>
    <w:rsid w:val="00E47184"/>
    <w:rsid w:val="00E4775B"/>
    <w:rsid w:val="00E50FD9"/>
    <w:rsid w:val="00E54CC5"/>
    <w:rsid w:val="00E56657"/>
    <w:rsid w:val="00E65738"/>
    <w:rsid w:val="00E71398"/>
    <w:rsid w:val="00E722D5"/>
    <w:rsid w:val="00E76A8B"/>
    <w:rsid w:val="00E862DB"/>
    <w:rsid w:val="00E9286C"/>
    <w:rsid w:val="00E94A59"/>
    <w:rsid w:val="00E9762C"/>
    <w:rsid w:val="00EA3AC3"/>
    <w:rsid w:val="00EB21D2"/>
    <w:rsid w:val="00EB28E4"/>
    <w:rsid w:val="00EB63FE"/>
    <w:rsid w:val="00EC0F19"/>
    <w:rsid w:val="00EC4820"/>
    <w:rsid w:val="00ED3089"/>
    <w:rsid w:val="00ED3F17"/>
    <w:rsid w:val="00ED720C"/>
    <w:rsid w:val="00ED7589"/>
    <w:rsid w:val="00EE0522"/>
    <w:rsid w:val="00EE066C"/>
    <w:rsid w:val="00EE292C"/>
    <w:rsid w:val="00EF20DB"/>
    <w:rsid w:val="00EF2A18"/>
    <w:rsid w:val="00EF528A"/>
    <w:rsid w:val="00F00C85"/>
    <w:rsid w:val="00F0619A"/>
    <w:rsid w:val="00F100CC"/>
    <w:rsid w:val="00F12C23"/>
    <w:rsid w:val="00F151A8"/>
    <w:rsid w:val="00F16BFA"/>
    <w:rsid w:val="00F2041B"/>
    <w:rsid w:val="00F21163"/>
    <w:rsid w:val="00F21670"/>
    <w:rsid w:val="00F220D7"/>
    <w:rsid w:val="00F23747"/>
    <w:rsid w:val="00F238A7"/>
    <w:rsid w:val="00F259C4"/>
    <w:rsid w:val="00F300F4"/>
    <w:rsid w:val="00F34EE1"/>
    <w:rsid w:val="00F40E76"/>
    <w:rsid w:val="00F426C5"/>
    <w:rsid w:val="00F4524A"/>
    <w:rsid w:val="00F52414"/>
    <w:rsid w:val="00F5310A"/>
    <w:rsid w:val="00F5556F"/>
    <w:rsid w:val="00F60654"/>
    <w:rsid w:val="00F621E5"/>
    <w:rsid w:val="00F649E6"/>
    <w:rsid w:val="00F649FE"/>
    <w:rsid w:val="00F92D6A"/>
    <w:rsid w:val="00F9545A"/>
    <w:rsid w:val="00F96DF5"/>
    <w:rsid w:val="00FA6B06"/>
    <w:rsid w:val="00FB3993"/>
    <w:rsid w:val="00FB3C49"/>
    <w:rsid w:val="00FB70A0"/>
    <w:rsid w:val="00FC5F41"/>
    <w:rsid w:val="00FD4E9C"/>
    <w:rsid w:val="00FE3A51"/>
    <w:rsid w:val="00FE4ACD"/>
    <w:rsid w:val="00FE5A53"/>
    <w:rsid w:val="00FF1A7D"/>
    <w:rsid w:val="00FF5165"/>
    <w:rsid w:val="00FF59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40941"/>
  <w15:docId w15:val="{7F6327F9-E60C-445E-8EB3-6A473AD05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358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semiHidden/>
    <w:unhideWhenUsed/>
    <w:qFormat/>
    <w:rsid w:val="00093580"/>
    <w:pPr>
      <w:keepNext/>
      <w:keepLines/>
      <w:spacing w:before="200" w:after="0"/>
      <w:outlineLvl w:val="1"/>
    </w:pPr>
    <w:rPr>
      <w:rFonts w:eastAsiaTheme="majorEastAsia" w:cstheme="majorBidi"/>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3580"/>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093580"/>
    <w:rPr>
      <w:rFonts w:eastAsiaTheme="majorEastAsia" w:cstheme="majorBidi"/>
      <w:bCs/>
      <w:sz w:val="28"/>
      <w:szCs w:val="26"/>
    </w:rPr>
  </w:style>
  <w:style w:type="paragraph" w:styleId="Title">
    <w:name w:val="Title"/>
    <w:basedOn w:val="Normal"/>
    <w:next w:val="Normal"/>
    <w:link w:val="TitleChar"/>
    <w:uiPriority w:val="10"/>
    <w:qFormat/>
    <w:rsid w:val="00443ECB"/>
    <w:pPr>
      <w:pBdr>
        <w:bottom w:val="single" w:sz="8" w:space="4" w:color="4F81BD" w:themeColor="accent1"/>
      </w:pBdr>
      <w:spacing w:after="300" w:line="240" w:lineRule="auto"/>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43ECB"/>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43ECB"/>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11"/>
    <w:rsid w:val="00443ECB"/>
    <w:rPr>
      <w:rFonts w:eastAsiaTheme="majorEastAsia" w:cstheme="majorBidi"/>
      <w:i/>
      <w:iCs/>
      <w:spacing w:val="15"/>
      <w:szCs w:val="24"/>
    </w:rPr>
  </w:style>
  <w:style w:type="character" w:styleId="IntenseEmphasis">
    <w:name w:val="Intense Emphasis"/>
    <w:basedOn w:val="DefaultParagraphFont"/>
    <w:uiPriority w:val="21"/>
    <w:qFormat/>
    <w:rsid w:val="00443ECB"/>
    <w:rPr>
      <w:b/>
      <w:bCs/>
      <w:i/>
      <w:iCs/>
      <w:color w:val="auto"/>
    </w:rPr>
  </w:style>
  <w:style w:type="paragraph" w:styleId="IntenseQuote">
    <w:name w:val="Intense Quote"/>
    <w:basedOn w:val="Normal"/>
    <w:next w:val="Normal"/>
    <w:link w:val="IntenseQuoteChar"/>
    <w:uiPriority w:val="30"/>
    <w:qFormat/>
    <w:rsid w:val="00443ECB"/>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443ECB"/>
    <w:rPr>
      <w:b/>
      <w:bCs/>
      <w:i/>
      <w:iCs/>
    </w:rPr>
  </w:style>
  <w:style w:type="paragraph" w:styleId="ListParagraph">
    <w:name w:val="List Paragraph"/>
    <w:basedOn w:val="Normal"/>
    <w:uiPriority w:val="34"/>
    <w:qFormat/>
    <w:rsid w:val="009016BD"/>
    <w:pPr>
      <w:ind w:left="720"/>
      <w:contextualSpacing/>
    </w:pPr>
  </w:style>
  <w:style w:type="paragraph" w:customStyle="1" w:styleId="Default">
    <w:name w:val="Default"/>
    <w:rsid w:val="00F52414"/>
    <w:pPr>
      <w:autoSpaceDE w:val="0"/>
      <w:autoSpaceDN w:val="0"/>
      <w:adjustRightInd w:val="0"/>
      <w:spacing w:after="0" w:line="240" w:lineRule="auto"/>
    </w:pPr>
    <w:rPr>
      <w:rFonts w:ascii="Calibri" w:hAnsi="Calibri" w:cs="Calibri"/>
      <w:color w:val="000000"/>
      <w:szCs w:val="24"/>
    </w:rPr>
  </w:style>
  <w:style w:type="table" w:styleId="TableGrid">
    <w:name w:val="Table Grid"/>
    <w:basedOn w:val="TableNormal"/>
    <w:uiPriority w:val="59"/>
    <w:rsid w:val="00B60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7283"/>
    <w:rPr>
      <w:color w:val="0000FF" w:themeColor="hyperlink"/>
      <w:u w:val="single"/>
    </w:rPr>
  </w:style>
  <w:style w:type="paragraph" w:styleId="Header">
    <w:name w:val="header"/>
    <w:basedOn w:val="Normal"/>
    <w:link w:val="HeaderChar"/>
    <w:uiPriority w:val="99"/>
    <w:unhideWhenUsed/>
    <w:rsid w:val="007A7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283"/>
  </w:style>
  <w:style w:type="paragraph" w:styleId="Footer">
    <w:name w:val="footer"/>
    <w:basedOn w:val="Normal"/>
    <w:link w:val="FooterChar"/>
    <w:uiPriority w:val="99"/>
    <w:unhideWhenUsed/>
    <w:rsid w:val="007A7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283"/>
  </w:style>
  <w:style w:type="paragraph" w:styleId="BalloonText">
    <w:name w:val="Balloon Text"/>
    <w:basedOn w:val="Normal"/>
    <w:link w:val="BalloonTextChar"/>
    <w:uiPriority w:val="99"/>
    <w:semiHidden/>
    <w:unhideWhenUsed/>
    <w:rsid w:val="007A72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7283"/>
    <w:rPr>
      <w:rFonts w:ascii="Tahoma" w:hAnsi="Tahoma" w:cs="Tahoma"/>
      <w:sz w:val="16"/>
      <w:szCs w:val="16"/>
    </w:rPr>
  </w:style>
  <w:style w:type="paragraph" w:styleId="NoSpacing">
    <w:name w:val="No Spacing"/>
    <w:uiPriority w:val="1"/>
    <w:qFormat/>
    <w:rsid w:val="007F654B"/>
    <w:pPr>
      <w:spacing w:after="0" w:line="240" w:lineRule="auto"/>
    </w:pPr>
  </w:style>
  <w:style w:type="character" w:customStyle="1" w:styleId="UnresolvedMention1">
    <w:name w:val="Unresolved Mention1"/>
    <w:basedOn w:val="DefaultParagraphFont"/>
    <w:uiPriority w:val="99"/>
    <w:semiHidden/>
    <w:unhideWhenUsed/>
    <w:rsid w:val="00265CDE"/>
    <w:rPr>
      <w:color w:val="605E5C"/>
      <w:shd w:val="clear" w:color="auto" w:fill="E1DFDD"/>
    </w:rPr>
  </w:style>
  <w:style w:type="paragraph" w:styleId="NormalIndent">
    <w:name w:val="Normal Indent"/>
    <w:basedOn w:val="Normal"/>
    <w:uiPriority w:val="99"/>
    <w:unhideWhenUsed/>
    <w:rsid w:val="00C05C39"/>
    <w:pPr>
      <w:widowControl w:val="0"/>
      <w:spacing w:after="240" w:line="240" w:lineRule="auto"/>
      <w:ind w:left="720" w:hanging="720"/>
      <w:jc w:val="both"/>
    </w:pPr>
    <w:rPr>
      <w:rFonts w:eastAsia="Times New Roman" w:cs="Times New Roman"/>
      <w:sz w:val="22"/>
      <w:szCs w:val="20"/>
    </w:rPr>
  </w:style>
  <w:style w:type="character" w:styleId="CommentReference">
    <w:name w:val="annotation reference"/>
    <w:basedOn w:val="DefaultParagraphFont"/>
    <w:uiPriority w:val="99"/>
    <w:semiHidden/>
    <w:unhideWhenUsed/>
    <w:rsid w:val="00457D90"/>
    <w:rPr>
      <w:sz w:val="16"/>
      <w:szCs w:val="16"/>
    </w:rPr>
  </w:style>
  <w:style w:type="paragraph" w:styleId="CommentText">
    <w:name w:val="annotation text"/>
    <w:basedOn w:val="Normal"/>
    <w:link w:val="CommentTextChar"/>
    <w:uiPriority w:val="99"/>
    <w:semiHidden/>
    <w:unhideWhenUsed/>
    <w:rsid w:val="00457D90"/>
    <w:pPr>
      <w:spacing w:line="240" w:lineRule="auto"/>
    </w:pPr>
    <w:rPr>
      <w:sz w:val="20"/>
      <w:szCs w:val="20"/>
    </w:rPr>
  </w:style>
  <w:style w:type="character" w:customStyle="1" w:styleId="CommentTextChar">
    <w:name w:val="Comment Text Char"/>
    <w:basedOn w:val="DefaultParagraphFont"/>
    <w:link w:val="CommentText"/>
    <w:uiPriority w:val="99"/>
    <w:semiHidden/>
    <w:rsid w:val="00457D90"/>
    <w:rPr>
      <w:sz w:val="20"/>
      <w:szCs w:val="20"/>
    </w:rPr>
  </w:style>
  <w:style w:type="paragraph" w:styleId="CommentSubject">
    <w:name w:val="annotation subject"/>
    <w:basedOn w:val="CommentText"/>
    <w:next w:val="CommentText"/>
    <w:link w:val="CommentSubjectChar"/>
    <w:uiPriority w:val="99"/>
    <w:semiHidden/>
    <w:unhideWhenUsed/>
    <w:rsid w:val="00457D90"/>
    <w:rPr>
      <w:b/>
      <w:bCs/>
    </w:rPr>
  </w:style>
  <w:style w:type="character" w:customStyle="1" w:styleId="CommentSubjectChar">
    <w:name w:val="Comment Subject Char"/>
    <w:basedOn w:val="CommentTextChar"/>
    <w:link w:val="CommentSubject"/>
    <w:uiPriority w:val="99"/>
    <w:semiHidden/>
    <w:rsid w:val="00457D90"/>
    <w:rPr>
      <w:b/>
      <w:bCs/>
      <w:sz w:val="20"/>
      <w:szCs w:val="20"/>
    </w:rPr>
  </w:style>
  <w:style w:type="character" w:styleId="FollowedHyperlink">
    <w:name w:val="FollowedHyperlink"/>
    <w:basedOn w:val="DefaultParagraphFont"/>
    <w:uiPriority w:val="99"/>
    <w:semiHidden/>
    <w:unhideWhenUsed/>
    <w:rsid w:val="0080583B"/>
    <w:rPr>
      <w:color w:val="800080" w:themeColor="followedHyperlink"/>
      <w:u w:val="single"/>
    </w:rPr>
  </w:style>
  <w:style w:type="character" w:styleId="UnresolvedMention">
    <w:name w:val="Unresolved Mention"/>
    <w:basedOn w:val="DefaultParagraphFont"/>
    <w:uiPriority w:val="99"/>
    <w:semiHidden/>
    <w:unhideWhenUsed/>
    <w:rsid w:val="00CF0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75371">
      <w:bodyDiv w:val="1"/>
      <w:marLeft w:val="0"/>
      <w:marRight w:val="0"/>
      <w:marTop w:val="0"/>
      <w:marBottom w:val="0"/>
      <w:divBdr>
        <w:top w:val="none" w:sz="0" w:space="0" w:color="auto"/>
        <w:left w:val="none" w:sz="0" w:space="0" w:color="auto"/>
        <w:bottom w:val="none" w:sz="0" w:space="0" w:color="auto"/>
        <w:right w:val="none" w:sz="0" w:space="0" w:color="auto"/>
      </w:divBdr>
    </w:div>
    <w:div w:id="105195228">
      <w:bodyDiv w:val="1"/>
      <w:marLeft w:val="0"/>
      <w:marRight w:val="0"/>
      <w:marTop w:val="0"/>
      <w:marBottom w:val="0"/>
      <w:divBdr>
        <w:top w:val="none" w:sz="0" w:space="0" w:color="auto"/>
        <w:left w:val="none" w:sz="0" w:space="0" w:color="auto"/>
        <w:bottom w:val="none" w:sz="0" w:space="0" w:color="auto"/>
        <w:right w:val="none" w:sz="0" w:space="0" w:color="auto"/>
      </w:divBdr>
    </w:div>
    <w:div w:id="137962345">
      <w:bodyDiv w:val="1"/>
      <w:marLeft w:val="0"/>
      <w:marRight w:val="0"/>
      <w:marTop w:val="0"/>
      <w:marBottom w:val="0"/>
      <w:divBdr>
        <w:top w:val="none" w:sz="0" w:space="0" w:color="auto"/>
        <w:left w:val="none" w:sz="0" w:space="0" w:color="auto"/>
        <w:bottom w:val="none" w:sz="0" w:space="0" w:color="auto"/>
        <w:right w:val="none" w:sz="0" w:space="0" w:color="auto"/>
      </w:divBdr>
    </w:div>
    <w:div w:id="298272100">
      <w:bodyDiv w:val="1"/>
      <w:marLeft w:val="0"/>
      <w:marRight w:val="0"/>
      <w:marTop w:val="0"/>
      <w:marBottom w:val="0"/>
      <w:divBdr>
        <w:top w:val="none" w:sz="0" w:space="0" w:color="auto"/>
        <w:left w:val="none" w:sz="0" w:space="0" w:color="auto"/>
        <w:bottom w:val="none" w:sz="0" w:space="0" w:color="auto"/>
        <w:right w:val="none" w:sz="0" w:space="0" w:color="auto"/>
      </w:divBdr>
    </w:div>
    <w:div w:id="345063107">
      <w:bodyDiv w:val="1"/>
      <w:marLeft w:val="0"/>
      <w:marRight w:val="0"/>
      <w:marTop w:val="0"/>
      <w:marBottom w:val="0"/>
      <w:divBdr>
        <w:top w:val="none" w:sz="0" w:space="0" w:color="auto"/>
        <w:left w:val="none" w:sz="0" w:space="0" w:color="auto"/>
        <w:bottom w:val="none" w:sz="0" w:space="0" w:color="auto"/>
        <w:right w:val="none" w:sz="0" w:space="0" w:color="auto"/>
      </w:divBdr>
    </w:div>
    <w:div w:id="527329776">
      <w:bodyDiv w:val="1"/>
      <w:marLeft w:val="0"/>
      <w:marRight w:val="0"/>
      <w:marTop w:val="0"/>
      <w:marBottom w:val="0"/>
      <w:divBdr>
        <w:top w:val="none" w:sz="0" w:space="0" w:color="auto"/>
        <w:left w:val="none" w:sz="0" w:space="0" w:color="auto"/>
        <w:bottom w:val="none" w:sz="0" w:space="0" w:color="auto"/>
        <w:right w:val="none" w:sz="0" w:space="0" w:color="auto"/>
      </w:divBdr>
    </w:div>
    <w:div w:id="545143696">
      <w:bodyDiv w:val="1"/>
      <w:marLeft w:val="0"/>
      <w:marRight w:val="0"/>
      <w:marTop w:val="0"/>
      <w:marBottom w:val="0"/>
      <w:divBdr>
        <w:top w:val="none" w:sz="0" w:space="0" w:color="auto"/>
        <w:left w:val="none" w:sz="0" w:space="0" w:color="auto"/>
        <w:bottom w:val="none" w:sz="0" w:space="0" w:color="auto"/>
        <w:right w:val="none" w:sz="0" w:space="0" w:color="auto"/>
      </w:divBdr>
    </w:div>
    <w:div w:id="724109042">
      <w:bodyDiv w:val="1"/>
      <w:marLeft w:val="0"/>
      <w:marRight w:val="0"/>
      <w:marTop w:val="0"/>
      <w:marBottom w:val="0"/>
      <w:divBdr>
        <w:top w:val="none" w:sz="0" w:space="0" w:color="auto"/>
        <w:left w:val="none" w:sz="0" w:space="0" w:color="auto"/>
        <w:bottom w:val="none" w:sz="0" w:space="0" w:color="auto"/>
        <w:right w:val="none" w:sz="0" w:space="0" w:color="auto"/>
      </w:divBdr>
    </w:div>
    <w:div w:id="850338270">
      <w:bodyDiv w:val="1"/>
      <w:marLeft w:val="0"/>
      <w:marRight w:val="0"/>
      <w:marTop w:val="0"/>
      <w:marBottom w:val="0"/>
      <w:divBdr>
        <w:top w:val="none" w:sz="0" w:space="0" w:color="auto"/>
        <w:left w:val="none" w:sz="0" w:space="0" w:color="auto"/>
        <w:bottom w:val="none" w:sz="0" w:space="0" w:color="auto"/>
        <w:right w:val="none" w:sz="0" w:space="0" w:color="auto"/>
      </w:divBdr>
    </w:div>
    <w:div w:id="883980481">
      <w:bodyDiv w:val="1"/>
      <w:marLeft w:val="0"/>
      <w:marRight w:val="0"/>
      <w:marTop w:val="0"/>
      <w:marBottom w:val="0"/>
      <w:divBdr>
        <w:top w:val="none" w:sz="0" w:space="0" w:color="auto"/>
        <w:left w:val="none" w:sz="0" w:space="0" w:color="auto"/>
        <w:bottom w:val="none" w:sz="0" w:space="0" w:color="auto"/>
        <w:right w:val="none" w:sz="0" w:space="0" w:color="auto"/>
      </w:divBdr>
    </w:div>
    <w:div w:id="955023143">
      <w:bodyDiv w:val="1"/>
      <w:marLeft w:val="0"/>
      <w:marRight w:val="0"/>
      <w:marTop w:val="0"/>
      <w:marBottom w:val="0"/>
      <w:divBdr>
        <w:top w:val="none" w:sz="0" w:space="0" w:color="auto"/>
        <w:left w:val="none" w:sz="0" w:space="0" w:color="auto"/>
        <w:bottom w:val="none" w:sz="0" w:space="0" w:color="auto"/>
        <w:right w:val="none" w:sz="0" w:space="0" w:color="auto"/>
      </w:divBdr>
    </w:div>
    <w:div w:id="1024863811">
      <w:bodyDiv w:val="1"/>
      <w:marLeft w:val="0"/>
      <w:marRight w:val="0"/>
      <w:marTop w:val="0"/>
      <w:marBottom w:val="0"/>
      <w:divBdr>
        <w:top w:val="none" w:sz="0" w:space="0" w:color="auto"/>
        <w:left w:val="none" w:sz="0" w:space="0" w:color="auto"/>
        <w:bottom w:val="none" w:sz="0" w:space="0" w:color="auto"/>
        <w:right w:val="none" w:sz="0" w:space="0" w:color="auto"/>
      </w:divBdr>
    </w:div>
    <w:div w:id="1088120025">
      <w:bodyDiv w:val="1"/>
      <w:marLeft w:val="0"/>
      <w:marRight w:val="0"/>
      <w:marTop w:val="0"/>
      <w:marBottom w:val="0"/>
      <w:divBdr>
        <w:top w:val="none" w:sz="0" w:space="0" w:color="auto"/>
        <w:left w:val="none" w:sz="0" w:space="0" w:color="auto"/>
        <w:bottom w:val="none" w:sz="0" w:space="0" w:color="auto"/>
        <w:right w:val="none" w:sz="0" w:space="0" w:color="auto"/>
      </w:divBdr>
    </w:div>
    <w:div w:id="1245648821">
      <w:bodyDiv w:val="1"/>
      <w:marLeft w:val="0"/>
      <w:marRight w:val="0"/>
      <w:marTop w:val="0"/>
      <w:marBottom w:val="0"/>
      <w:divBdr>
        <w:top w:val="none" w:sz="0" w:space="0" w:color="auto"/>
        <w:left w:val="none" w:sz="0" w:space="0" w:color="auto"/>
        <w:bottom w:val="none" w:sz="0" w:space="0" w:color="auto"/>
        <w:right w:val="none" w:sz="0" w:space="0" w:color="auto"/>
      </w:divBdr>
    </w:div>
    <w:div w:id="1301610621">
      <w:bodyDiv w:val="1"/>
      <w:marLeft w:val="0"/>
      <w:marRight w:val="0"/>
      <w:marTop w:val="0"/>
      <w:marBottom w:val="0"/>
      <w:divBdr>
        <w:top w:val="none" w:sz="0" w:space="0" w:color="auto"/>
        <w:left w:val="none" w:sz="0" w:space="0" w:color="auto"/>
        <w:bottom w:val="none" w:sz="0" w:space="0" w:color="auto"/>
        <w:right w:val="none" w:sz="0" w:space="0" w:color="auto"/>
      </w:divBdr>
    </w:div>
    <w:div w:id="1469935680">
      <w:bodyDiv w:val="1"/>
      <w:marLeft w:val="0"/>
      <w:marRight w:val="0"/>
      <w:marTop w:val="0"/>
      <w:marBottom w:val="0"/>
      <w:divBdr>
        <w:top w:val="none" w:sz="0" w:space="0" w:color="auto"/>
        <w:left w:val="none" w:sz="0" w:space="0" w:color="auto"/>
        <w:bottom w:val="none" w:sz="0" w:space="0" w:color="auto"/>
        <w:right w:val="none" w:sz="0" w:space="0" w:color="auto"/>
      </w:divBdr>
    </w:div>
    <w:div w:id="1493401417">
      <w:bodyDiv w:val="1"/>
      <w:marLeft w:val="0"/>
      <w:marRight w:val="0"/>
      <w:marTop w:val="0"/>
      <w:marBottom w:val="0"/>
      <w:divBdr>
        <w:top w:val="none" w:sz="0" w:space="0" w:color="auto"/>
        <w:left w:val="none" w:sz="0" w:space="0" w:color="auto"/>
        <w:bottom w:val="none" w:sz="0" w:space="0" w:color="auto"/>
        <w:right w:val="none" w:sz="0" w:space="0" w:color="auto"/>
      </w:divBdr>
    </w:div>
    <w:div w:id="1615363424">
      <w:bodyDiv w:val="1"/>
      <w:marLeft w:val="0"/>
      <w:marRight w:val="0"/>
      <w:marTop w:val="0"/>
      <w:marBottom w:val="0"/>
      <w:divBdr>
        <w:top w:val="none" w:sz="0" w:space="0" w:color="auto"/>
        <w:left w:val="none" w:sz="0" w:space="0" w:color="auto"/>
        <w:bottom w:val="none" w:sz="0" w:space="0" w:color="auto"/>
        <w:right w:val="none" w:sz="0" w:space="0" w:color="auto"/>
      </w:divBdr>
    </w:div>
    <w:div w:id="1634553233">
      <w:bodyDiv w:val="1"/>
      <w:marLeft w:val="0"/>
      <w:marRight w:val="0"/>
      <w:marTop w:val="0"/>
      <w:marBottom w:val="0"/>
      <w:divBdr>
        <w:top w:val="none" w:sz="0" w:space="0" w:color="auto"/>
        <w:left w:val="none" w:sz="0" w:space="0" w:color="auto"/>
        <w:bottom w:val="none" w:sz="0" w:space="0" w:color="auto"/>
        <w:right w:val="none" w:sz="0" w:space="0" w:color="auto"/>
      </w:divBdr>
    </w:div>
    <w:div w:id="1672102224">
      <w:bodyDiv w:val="1"/>
      <w:marLeft w:val="0"/>
      <w:marRight w:val="0"/>
      <w:marTop w:val="0"/>
      <w:marBottom w:val="0"/>
      <w:divBdr>
        <w:top w:val="none" w:sz="0" w:space="0" w:color="auto"/>
        <w:left w:val="none" w:sz="0" w:space="0" w:color="auto"/>
        <w:bottom w:val="none" w:sz="0" w:space="0" w:color="auto"/>
        <w:right w:val="none" w:sz="0" w:space="0" w:color="auto"/>
      </w:divBdr>
    </w:div>
    <w:div w:id="1694915481">
      <w:bodyDiv w:val="1"/>
      <w:marLeft w:val="0"/>
      <w:marRight w:val="0"/>
      <w:marTop w:val="0"/>
      <w:marBottom w:val="0"/>
      <w:divBdr>
        <w:top w:val="none" w:sz="0" w:space="0" w:color="auto"/>
        <w:left w:val="none" w:sz="0" w:space="0" w:color="auto"/>
        <w:bottom w:val="none" w:sz="0" w:space="0" w:color="auto"/>
        <w:right w:val="none" w:sz="0" w:space="0" w:color="auto"/>
      </w:divBdr>
    </w:div>
    <w:div w:id="1712487870">
      <w:bodyDiv w:val="1"/>
      <w:marLeft w:val="0"/>
      <w:marRight w:val="0"/>
      <w:marTop w:val="0"/>
      <w:marBottom w:val="0"/>
      <w:divBdr>
        <w:top w:val="none" w:sz="0" w:space="0" w:color="auto"/>
        <w:left w:val="none" w:sz="0" w:space="0" w:color="auto"/>
        <w:bottom w:val="none" w:sz="0" w:space="0" w:color="auto"/>
        <w:right w:val="none" w:sz="0" w:space="0" w:color="auto"/>
      </w:divBdr>
    </w:div>
    <w:div w:id="1830436285">
      <w:bodyDiv w:val="1"/>
      <w:marLeft w:val="0"/>
      <w:marRight w:val="0"/>
      <w:marTop w:val="0"/>
      <w:marBottom w:val="0"/>
      <w:divBdr>
        <w:top w:val="none" w:sz="0" w:space="0" w:color="auto"/>
        <w:left w:val="none" w:sz="0" w:space="0" w:color="auto"/>
        <w:bottom w:val="none" w:sz="0" w:space="0" w:color="auto"/>
        <w:right w:val="none" w:sz="0" w:space="0" w:color="auto"/>
      </w:divBdr>
    </w:div>
    <w:div w:id="1864972525">
      <w:bodyDiv w:val="1"/>
      <w:marLeft w:val="0"/>
      <w:marRight w:val="0"/>
      <w:marTop w:val="0"/>
      <w:marBottom w:val="0"/>
      <w:divBdr>
        <w:top w:val="none" w:sz="0" w:space="0" w:color="auto"/>
        <w:left w:val="none" w:sz="0" w:space="0" w:color="auto"/>
        <w:bottom w:val="none" w:sz="0" w:space="0" w:color="auto"/>
        <w:right w:val="none" w:sz="0" w:space="0" w:color="auto"/>
      </w:divBdr>
    </w:div>
    <w:div w:id="1874730934">
      <w:bodyDiv w:val="1"/>
      <w:marLeft w:val="0"/>
      <w:marRight w:val="0"/>
      <w:marTop w:val="0"/>
      <w:marBottom w:val="0"/>
      <w:divBdr>
        <w:top w:val="none" w:sz="0" w:space="0" w:color="auto"/>
        <w:left w:val="none" w:sz="0" w:space="0" w:color="auto"/>
        <w:bottom w:val="none" w:sz="0" w:space="0" w:color="auto"/>
        <w:right w:val="none" w:sz="0" w:space="0" w:color="auto"/>
      </w:divBdr>
    </w:div>
    <w:div w:id="20555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edling.gov.uk/resident/planningandbuildingcontrol/planningpolicy/adoptedlocalplanandpolicydocuments/" TargetMode="External"/><Relationship Id="rId18" Type="http://schemas.openxmlformats.org/officeDocument/2006/relationships/hyperlink" Target="https://apps.gedling.gov.uk/forms/default.aspx?formid=8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democracy.gedling.gov.uk/documents/s16689/Appendix%201%20Monitoring%20Fee%20Ststement.pdf"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dling.gov.uk/cil/"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mailto:CIL@gedling.gov.uk" TargetMode="External"/><Relationship Id="rId4" Type="http://schemas.openxmlformats.org/officeDocument/2006/relationships/settings" Target="settings.xml"/><Relationship Id="rId9" Type="http://schemas.openxmlformats.org/officeDocument/2006/relationships/hyperlink" Target="https://www.gedling.gov.uk/cil/" TargetMode="External"/><Relationship Id="rId14" Type="http://schemas.openxmlformats.org/officeDocument/2006/relationships/hyperlink" Target="https://pawam.gedling.gov.uk/online-appli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50B7B-0653-459A-8717-C46D7C3E9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5878</Words>
  <Characters>33507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Gedling Borough Council</Company>
  <LinksUpToDate>false</LinksUpToDate>
  <CharactersWithSpaces>39307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Alan Siviter</dc:creator>
  <cp:lastModifiedBy>Lewis Widdowson</cp:lastModifiedBy>
  <cp:revision>9</cp:revision>
  <dcterms:created xsi:type="dcterms:W3CDTF">2023-11-14T12:04:00Z</dcterms:created>
  <dcterms:modified xsi:type="dcterms:W3CDTF">2023-12-15T11:24:00Z</dcterms:modified>
</cp:coreProperties>
</file>